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5090" w14:textId="27EE6F9D" w:rsidR="009F1315" w:rsidRDefault="009F1315" w:rsidP="00BB57EF">
      <w:pPr>
        <w:pStyle w:val="Title"/>
        <w:jc w:val="center"/>
      </w:pPr>
      <w:r w:rsidRPr="009F1315">
        <w:t>Disaster Risk Reduction Incentive</w:t>
      </w:r>
    </w:p>
    <w:p w14:paraId="7B8ADAFD" w14:textId="36481EB6" w:rsidR="009F1315" w:rsidRPr="009F1315" w:rsidRDefault="009F1315" w:rsidP="009F1315">
      <w:pPr>
        <w:pStyle w:val="Subtitle"/>
        <w:jc w:val="center"/>
      </w:pPr>
      <w:r w:rsidRPr="009F1315">
        <w:t>Self-Assessment</w:t>
      </w:r>
    </w:p>
    <w:p w14:paraId="690DA349" w14:textId="2AB1D045" w:rsidR="00D963CA" w:rsidRDefault="00D963CA" w:rsidP="00D963CA">
      <w:pPr>
        <w:pStyle w:val="Heading1"/>
      </w:pPr>
      <w:r>
        <w:t>Context</w:t>
      </w:r>
    </w:p>
    <w:p w14:paraId="3DE50594" w14:textId="17EFE414" w:rsidR="00D963CA" w:rsidRDefault="00D963CA" w:rsidP="00D963CA">
      <w:r>
        <w:t xml:space="preserve">The Disaster Risk Reduction (DRR) Incentive is a component of the Disaster Financial Assistance Arrangements (DFAA) Program and focuses on high-impact disaster risk reduction activities across three priority areas: </w:t>
      </w:r>
    </w:p>
    <w:p w14:paraId="1613CF8B" w14:textId="77ACCC1D" w:rsidR="00D963CA" w:rsidRDefault="00D963CA" w:rsidP="00970F26">
      <w:pPr>
        <w:pStyle w:val="ListParagraph"/>
        <w:numPr>
          <w:ilvl w:val="0"/>
          <w:numId w:val="43"/>
        </w:numPr>
        <w:ind w:left="720" w:hanging="360"/>
        <w:contextualSpacing w:val="0"/>
      </w:pPr>
      <w:r>
        <w:t>Understanding risk</w:t>
      </w:r>
    </w:p>
    <w:p w14:paraId="110DB3A2" w14:textId="409E28B7" w:rsidR="00D963CA" w:rsidRDefault="00D963CA" w:rsidP="00970F26">
      <w:pPr>
        <w:pStyle w:val="ListParagraph"/>
        <w:numPr>
          <w:ilvl w:val="0"/>
          <w:numId w:val="43"/>
        </w:numPr>
        <w:ind w:left="720" w:hanging="360"/>
        <w:contextualSpacing w:val="0"/>
      </w:pPr>
      <w:r>
        <w:t>Mitigation planning</w:t>
      </w:r>
    </w:p>
    <w:p w14:paraId="55B100CD" w14:textId="29DF381F" w:rsidR="00D963CA" w:rsidRDefault="00D963CA" w:rsidP="00BB57EF">
      <w:pPr>
        <w:pStyle w:val="ListParagraph"/>
        <w:numPr>
          <w:ilvl w:val="0"/>
          <w:numId w:val="43"/>
        </w:numPr>
        <w:ind w:left="720" w:hanging="360"/>
      </w:pPr>
      <w:r>
        <w:t>Pre-disaster recovery planning</w:t>
      </w:r>
    </w:p>
    <w:p w14:paraId="349C8947" w14:textId="0278A619" w:rsidR="009F1315" w:rsidRDefault="00D963CA" w:rsidP="00D963CA">
      <w:r>
        <w:t xml:space="preserve">Each priority area includes </w:t>
      </w:r>
      <w:proofErr w:type="gramStart"/>
      <w:r>
        <w:t>a number of</w:t>
      </w:r>
      <w:proofErr w:type="gramEnd"/>
      <w:r>
        <w:t xml:space="preserve"> different activities that contribute to reducing disaster risk and improving recovery outcomes, which will be updated over time to incentivize continuous improvement in disaster risk reduction. Provinces/territories can receive credits for different activities completed in each priority area. The total number of credits then translates into the financial incentive in the DFAA.</w:t>
      </w:r>
    </w:p>
    <w:p w14:paraId="73F14900" w14:textId="087906CB" w:rsidR="00C56EC1" w:rsidRDefault="00C56EC1" w:rsidP="00D963CA">
      <w:r>
        <w:t xml:space="preserve">For more information on the DRR Incentive and the DFAA, consult </w:t>
      </w:r>
      <w:hyperlink r:id="rId8" w:anchor="a14" w:history="1">
        <w:r w:rsidRPr="008C1711">
          <w:rPr>
            <w:rStyle w:val="Hyperlink"/>
          </w:rPr>
          <w:t>Section 14 of the DFAA Guidelines</w:t>
        </w:r>
      </w:hyperlink>
      <w:r>
        <w:t xml:space="preserve"> and </w:t>
      </w:r>
      <w:hyperlink r:id="rId9" w:history="1">
        <w:r w:rsidR="008C1711" w:rsidRPr="00145E70">
          <w:rPr>
            <w:rStyle w:val="Hyperlink"/>
          </w:rPr>
          <w:t>Schedule 4</w:t>
        </w:r>
      </w:hyperlink>
      <w:r w:rsidR="008C1711">
        <w:t>.</w:t>
      </w:r>
    </w:p>
    <w:p w14:paraId="5C8F5C15" w14:textId="4373C33B" w:rsidR="009F1315" w:rsidRDefault="00D963CA" w:rsidP="00D963CA">
      <w:pPr>
        <w:pStyle w:val="Heading1"/>
      </w:pPr>
      <w:r>
        <w:lastRenderedPageBreak/>
        <w:t>Self-Assessment</w:t>
      </w:r>
    </w:p>
    <w:tbl>
      <w:tblPr>
        <w:tblStyle w:val="TableGrid"/>
        <w:tblW w:w="0" w:type="auto"/>
        <w:tblBorders>
          <w:top w:val="none" w:sz="0" w:space="0" w:color="auto"/>
          <w:left w:val="single" w:sz="12" w:space="0" w:color="0F9ED5" w:themeColor="accent4"/>
          <w:bottom w:val="none" w:sz="0" w:space="0" w:color="auto"/>
          <w:right w:val="none" w:sz="0" w:space="0" w:color="auto"/>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9345"/>
      </w:tblGrid>
      <w:tr w:rsidR="00294860" w14:paraId="288D7269" w14:textId="77777777" w:rsidTr="00294860">
        <w:tc>
          <w:tcPr>
            <w:tcW w:w="9350" w:type="dxa"/>
            <w:shd w:val="clear" w:color="auto" w:fill="CAEDFB" w:themeFill="accent4" w:themeFillTint="33"/>
          </w:tcPr>
          <w:p w14:paraId="2B908B83" w14:textId="77777777" w:rsidR="00294860" w:rsidRPr="00AE2A78" w:rsidRDefault="00294860" w:rsidP="00294860">
            <w:pPr>
              <w:pStyle w:val="Heading3"/>
              <w:spacing w:before="0" w:after="160" w:line="278" w:lineRule="auto"/>
              <w:rPr>
                <w:b/>
                <w:bCs/>
                <w:color w:val="auto"/>
              </w:rPr>
            </w:pPr>
            <w:r w:rsidRPr="00AE2A78">
              <w:rPr>
                <w:b/>
                <w:bCs/>
                <w:color w:val="auto"/>
              </w:rPr>
              <w:t>Instructions</w:t>
            </w:r>
          </w:p>
          <w:p w14:paraId="6344E333" w14:textId="77777777" w:rsidR="00294860" w:rsidRPr="00667C5E" w:rsidRDefault="00294860" w:rsidP="007248AA">
            <w:pPr>
              <w:pStyle w:val="ListParagraph"/>
              <w:numPr>
                <w:ilvl w:val="0"/>
                <w:numId w:val="14"/>
              </w:numPr>
              <w:spacing w:after="160" w:line="278" w:lineRule="auto"/>
            </w:pPr>
            <w:r w:rsidRPr="00667C5E">
              <w:t xml:space="preserve">Choose the statement that reflects current practice, based on the criteria outlined in the section above. Select all Bonus Credit statements that reflect current practice. </w:t>
            </w:r>
          </w:p>
          <w:p w14:paraId="64CD07B9" w14:textId="77777777" w:rsidR="00294860" w:rsidRDefault="00294860" w:rsidP="007248AA">
            <w:pPr>
              <w:pStyle w:val="ListParagraph"/>
              <w:numPr>
                <w:ilvl w:val="0"/>
                <w:numId w:val="14"/>
              </w:numPr>
              <w:spacing w:after="160" w:line="278" w:lineRule="auto"/>
            </w:pPr>
            <w:r w:rsidRPr="00667C5E">
              <w:t xml:space="preserve">Rationale and Evidence: Provide a brief rationale for the self-assessment level given and supporting evidence demonstrating all required criteria for that </w:t>
            </w:r>
            <w:proofErr w:type="gramStart"/>
            <w:r w:rsidRPr="00667C5E">
              <w:t>level  have</w:t>
            </w:r>
            <w:proofErr w:type="gramEnd"/>
            <w:r w:rsidRPr="00667C5E">
              <w:t xml:space="preserve"> been met.</w:t>
            </w:r>
          </w:p>
          <w:p w14:paraId="21893A47" w14:textId="428E5102" w:rsidR="00294860" w:rsidRPr="00294860" w:rsidRDefault="00294860" w:rsidP="007248AA">
            <w:pPr>
              <w:pStyle w:val="ListParagraph"/>
              <w:numPr>
                <w:ilvl w:val="0"/>
                <w:numId w:val="14"/>
              </w:numPr>
              <w:spacing w:after="160" w:line="278" w:lineRule="auto"/>
            </w:pPr>
            <w:r w:rsidRPr="00AE2A78">
              <w:t>Add up the total number of credits for each section based on the selected statements.</w:t>
            </w:r>
          </w:p>
        </w:tc>
      </w:tr>
    </w:tbl>
    <w:p w14:paraId="14EEE257" w14:textId="77777777" w:rsidR="008E7449" w:rsidRPr="008E7449" w:rsidRDefault="008E7449" w:rsidP="00294860">
      <w:pPr>
        <w:pStyle w:val="Heading2"/>
        <w:rPr>
          <w:sz w:val="24"/>
          <w:szCs w:val="24"/>
        </w:rPr>
      </w:pPr>
    </w:p>
    <w:p w14:paraId="22201486" w14:textId="13C558DD" w:rsidR="00AE2A78" w:rsidRPr="00294860" w:rsidRDefault="00AE2A78" w:rsidP="00294860">
      <w:pPr>
        <w:pStyle w:val="Heading2"/>
      </w:pPr>
      <w:r w:rsidRPr="00294860">
        <w:t>Section 1: Understanding Risk</w:t>
      </w:r>
    </w:p>
    <w:p w14:paraId="232F365F" w14:textId="79767B1D" w:rsidR="00AE2A78" w:rsidRPr="00294860" w:rsidRDefault="00AE2A78" w:rsidP="00294860">
      <w:pPr>
        <w:pStyle w:val="Heading3"/>
        <w:spacing w:before="0" w:after="160"/>
      </w:pPr>
      <w:r w:rsidRPr="00294860">
        <w:t>Flood Risk</w:t>
      </w:r>
    </w:p>
    <w:p w14:paraId="3B4A2340" w14:textId="48681256" w:rsidR="00294860" w:rsidRPr="00294860" w:rsidRDefault="00294860" w:rsidP="00294860">
      <w:pPr>
        <w:pStyle w:val="Heading4"/>
        <w:spacing w:before="0" w:after="160"/>
      </w:pPr>
      <w:r w:rsidRPr="00294860">
        <w:t>Activity</w:t>
      </w:r>
    </w:p>
    <w:p w14:paraId="641B6F6B" w14:textId="6D762146" w:rsidR="00294860" w:rsidRDefault="00294860" w:rsidP="00294860">
      <w:r w:rsidRPr="00667C5E">
        <w:t>The province/territory maps, monitors, and regulates its flood risk.</w:t>
      </w:r>
    </w:p>
    <w:p w14:paraId="1A1D54F3" w14:textId="0E034FAA" w:rsidR="00294860" w:rsidRPr="00294860" w:rsidRDefault="00294860" w:rsidP="00294860">
      <w:pPr>
        <w:pStyle w:val="Heading4"/>
        <w:spacing w:before="0" w:after="160"/>
        <w:rPr>
          <w:rFonts w:eastAsia="Times New Roman"/>
        </w:rPr>
      </w:pPr>
      <w:r w:rsidRPr="00294860">
        <w:rPr>
          <w:rFonts w:eastAsia="Times New Roman"/>
        </w:rPr>
        <w:t>Criteria</w:t>
      </w:r>
    </w:p>
    <w:p w14:paraId="7250A5F2" w14:textId="77777777" w:rsidR="00294860" w:rsidRPr="008E7449" w:rsidRDefault="00294860" w:rsidP="00294860">
      <w:r w:rsidRPr="008E7449">
        <w:t>Hazard Mapping</w:t>
      </w:r>
    </w:p>
    <w:p w14:paraId="31F53470" w14:textId="3013F6B7" w:rsidR="00294860" w:rsidRPr="008E7449" w:rsidRDefault="00294860" w:rsidP="007248AA">
      <w:pPr>
        <w:pStyle w:val="ListParagraph"/>
        <w:numPr>
          <w:ilvl w:val="0"/>
          <w:numId w:val="15"/>
        </w:numPr>
      </w:pPr>
      <w:r w:rsidRPr="008E7449">
        <w:t>To receive credit, flood hazard maps must meet both the quality and coverage criteria</w:t>
      </w:r>
    </w:p>
    <w:p w14:paraId="26E97778" w14:textId="77777777" w:rsidR="00294860" w:rsidRPr="008E7449" w:rsidRDefault="00294860" w:rsidP="00294860">
      <w:r w:rsidRPr="008E7449">
        <w:t>Quality</w:t>
      </w:r>
    </w:p>
    <w:p w14:paraId="6598F4B5" w14:textId="77777777" w:rsidR="00294860" w:rsidRPr="008E7449" w:rsidRDefault="00294860" w:rsidP="007248AA">
      <w:pPr>
        <w:pStyle w:val="ListParagraph"/>
        <w:numPr>
          <w:ilvl w:val="0"/>
          <w:numId w:val="15"/>
        </w:numPr>
      </w:pPr>
      <w:r w:rsidRPr="008E7449">
        <w:t>Current: Have been updated within the past twenty years</w:t>
      </w:r>
    </w:p>
    <w:p w14:paraId="37F0B3D9" w14:textId="77777777" w:rsidR="00294860" w:rsidRPr="008E7449" w:rsidRDefault="00294860" w:rsidP="007248AA">
      <w:pPr>
        <w:pStyle w:val="ListParagraph"/>
        <w:numPr>
          <w:ilvl w:val="0"/>
          <w:numId w:val="15"/>
        </w:numPr>
      </w:pPr>
      <w:r w:rsidRPr="008E7449">
        <w:t>Publicly accessible: Available free of charge in a digital format through an online platform</w:t>
      </w:r>
    </w:p>
    <w:p w14:paraId="28305B7C" w14:textId="77777777" w:rsidR="00294860" w:rsidRPr="008E7449" w:rsidRDefault="00294860" w:rsidP="007248AA">
      <w:pPr>
        <w:pStyle w:val="ListParagraph"/>
        <w:numPr>
          <w:ilvl w:val="0"/>
          <w:numId w:val="15"/>
        </w:numPr>
      </w:pPr>
      <w:r w:rsidRPr="008E7449">
        <w:t>Authoritative: Be of regulatory quality for the jurisdiction</w:t>
      </w:r>
    </w:p>
    <w:p w14:paraId="40D01BCA" w14:textId="76453B77" w:rsidR="00294860" w:rsidRPr="008E7449" w:rsidRDefault="00294860" w:rsidP="007248AA">
      <w:pPr>
        <w:pStyle w:val="ListParagraph"/>
        <w:numPr>
          <w:ilvl w:val="0"/>
          <w:numId w:val="15"/>
        </w:numPr>
      </w:pPr>
      <w:r w:rsidRPr="008E7449">
        <w:t>Flood hazard designation: The minimum designation of high risk for flood hazard is at or equivalent to the 1-in-</w:t>
      </w:r>
      <w:proofErr w:type="gramStart"/>
      <w:r w:rsidRPr="008E7449">
        <w:t>200 year</w:t>
      </w:r>
      <w:proofErr w:type="gramEnd"/>
      <w:r w:rsidRPr="008E7449">
        <w:t xml:space="preserve"> return period flood </w:t>
      </w:r>
    </w:p>
    <w:p w14:paraId="0AC6FC63" w14:textId="77777777" w:rsidR="00294860" w:rsidRPr="008E7449" w:rsidRDefault="00294860" w:rsidP="00294860">
      <w:r w:rsidRPr="008E7449">
        <w:t>Coverage</w:t>
      </w:r>
    </w:p>
    <w:p w14:paraId="6D68D9F6" w14:textId="59074B06" w:rsidR="00294860" w:rsidRPr="008E7449" w:rsidRDefault="00294860" w:rsidP="007248AA">
      <w:pPr>
        <w:pStyle w:val="ListParagraph"/>
        <w:numPr>
          <w:ilvl w:val="0"/>
          <w:numId w:val="16"/>
        </w:numPr>
      </w:pPr>
      <w:r w:rsidRPr="008E7449">
        <w:t>Flood hazard maps cover at least 50% of the potential risk area or at least 80% of the population, including major critical infrastructure</w:t>
      </w:r>
    </w:p>
    <w:p w14:paraId="6A7EA109" w14:textId="77777777" w:rsidR="00294860" w:rsidRPr="008E7449" w:rsidRDefault="00294860" w:rsidP="00294860">
      <w:r w:rsidRPr="008E7449">
        <w:lastRenderedPageBreak/>
        <w:t>Hazard Monitoring</w:t>
      </w:r>
    </w:p>
    <w:p w14:paraId="16F4BB0D" w14:textId="77777777" w:rsidR="00294860" w:rsidRPr="008E7449" w:rsidRDefault="00294860" w:rsidP="00294860">
      <w:r w:rsidRPr="008E7449">
        <w:t>Hazard monitoring means the systematic and ongoing observation of environmental conditions, natural phenomena, and human activities that contribute to hazard risk. To receive credit, a flood hazard monitoring system must be:</w:t>
      </w:r>
    </w:p>
    <w:p w14:paraId="45B8A0F6" w14:textId="77777777" w:rsidR="00294860" w:rsidRPr="008E7449" w:rsidRDefault="00294860" w:rsidP="007248AA">
      <w:pPr>
        <w:pStyle w:val="ListParagraph"/>
        <w:numPr>
          <w:ilvl w:val="0"/>
          <w:numId w:val="16"/>
        </w:numPr>
      </w:pPr>
      <w:r w:rsidRPr="008E7449">
        <w:t>Systematic: Include a mechanism for systematic and ongoing observation (e.g., satellite data, weather monitoring, sensors, etc.)</w:t>
      </w:r>
    </w:p>
    <w:p w14:paraId="5703E2E5" w14:textId="77777777" w:rsidR="00294860" w:rsidRPr="008E7449" w:rsidRDefault="00294860" w:rsidP="007248AA">
      <w:pPr>
        <w:pStyle w:val="ListParagraph"/>
        <w:numPr>
          <w:ilvl w:val="0"/>
          <w:numId w:val="16"/>
        </w:numPr>
      </w:pPr>
      <w:r w:rsidRPr="008E7449">
        <w:t>Publicly available: Include a mechanism to publicize hazard forecasts free of charge</w:t>
      </w:r>
    </w:p>
    <w:p w14:paraId="4B2449C0" w14:textId="77777777" w:rsidR="00294860" w:rsidRPr="008E7449" w:rsidRDefault="00294860" w:rsidP="007248AA">
      <w:pPr>
        <w:pStyle w:val="ListParagraph"/>
        <w:numPr>
          <w:ilvl w:val="0"/>
          <w:numId w:val="16"/>
        </w:numPr>
      </w:pPr>
      <w:r w:rsidRPr="008E7449">
        <w:t>Actionable: Be connected to an early warning system that can issue warnings/alerts about imminent danger from the hazard (e.g., Alert Ready, push notifications, media, sirens, etc.)</w:t>
      </w:r>
    </w:p>
    <w:p w14:paraId="0641E293" w14:textId="77777777" w:rsidR="007555DD" w:rsidRPr="008E7449" w:rsidRDefault="00294860" w:rsidP="007555DD">
      <w:r w:rsidRPr="008E7449">
        <w:t>Legislation/Regulations</w:t>
      </w:r>
    </w:p>
    <w:p w14:paraId="6891B744" w14:textId="289DCE10" w:rsidR="00294860" w:rsidRPr="008E7449" w:rsidRDefault="00294860" w:rsidP="007555DD">
      <w:r w:rsidRPr="008E7449">
        <w:t>To receive credit, legislation/regulations must:</w:t>
      </w:r>
    </w:p>
    <w:p w14:paraId="39309188" w14:textId="77777777" w:rsidR="00294860" w:rsidRPr="008E7449" w:rsidRDefault="00294860" w:rsidP="007248AA">
      <w:pPr>
        <w:pStyle w:val="ListParagraph"/>
        <w:numPr>
          <w:ilvl w:val="0"/>
          <w:numId w:val="17"/>
        </w:numPr>
      </w:pPr>
      <w:r w:rsidRPr="008E7449">
        <w:t>Establish what high risk is for the hazard; and</w:t>
      </w:r>
    </w:p>
    <w:p w14:paraId="174BE27B" w14:textId="5E2FCC24" w:rsidR="00294860" w:rsidRPr="008E7449" w:rsidRDefault="00294860" w:rsidP="007248AA">
      <w:pPr>
        <w:pStyle w:val="ListParagraph"/>
        <w:numPr>
          <w:ilvl w:val="0"/>
          <w:numId w:val="17"/>
        </w:numPr>
      </w:pPr>
      <w:r w:rsidRPr="008E7449">
        <w:t xml:space="preserve">Include restrictions for unmitigated development/establish appropriate mitigation criteria in </w:t>
      </w:r>
      <w:proofErr w:type="gramStart"/>
      <w:r w:rsidRPr="008E7449">
        <w:t>high risk</w:t>
      </w:r>
      <w:proofErr w:type="gramEnd"/>
      <w:r w:rsidRPr="008E7449">
        <w:t xml:space="preserve"> areas</w:t>
      </w:r>
    </w:p>
    <w:p w14:paraId="553C3484" w14:textId="77777777" w:rsidR="00294860" w:rsidRPr="008E7449" w:rsidRDefault="00294860" w:rsidP="00294860">
      <w:r w:rsidRPr="008E7449">
        <w:t>To receive credit for monitoring and enforcing its land use legislation/regulations, the province/territory must demonstrate:</w:t>
      </w:r>
    </w:p>
    <w:p w14:paraId="01B78FC3" w14:textId="77777777" w:rsidR="00294860" w:rsidRPr="008E7449" w:rsidRDefault="00294860" w:rsidP="007248AA">
      <w:pPr>
        <w:pStyle w:val="ListParagraph"/>
        <w:numPr>
          <w:ilvl w:val="0"/>
          <w:numId w:val="18"/>
        </w:numPr>
      </w:pPr>
      <w:r w:rsidRPr="008E7449">
        <w:t xml:space="preserve">How it tracks compliance with its legislation/regulations; and </w:t>
      </w:r>
    </w:p>
    <w:p w14:paraId="36344187" w14:textId="5AF41E17" w:rsidR="00294860" w:rsidRPr="008E7449" w:rsidRDefault="00294860" w:rsidP="00CD0B94">
      <w:pPr>
        <w:pStyle w:val="ListParagraph"/>
        <w:numPr>
          <w:ilvl w:val="0"/>
          <w:numId w:val="18"/>
        </w:numPr>
      </w:pPr>
      <w:r w:rsidRPr="008E7449">
        <w:t>Its system for handling non-compliance</w:t>
      </w:r>
    </w:p>
    <w:p w14:paraId="43C085CB" w14:textId="6EBC0CDD" w:rsidR="00294860" w:rsidRPr="00CD0B94" w:rsidRDefault="00294860" w:rsidP="00E4232C">
      <w:pPr>
        <w:pStyle w:val="Heading5"/>
        <w:jc w:val="center"/>
      </w:pPr>
      <w:r w:rsidRPr="00CD0B94">
        <w:t>Table 1.1: Flood risk</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7555DD" w:rsidRPr="007555DD" w14:paraId="4DA20B15" w14:textId="77777777" w:rsidTr="009D6502">
        <w:trPr>
          <w:trHeight w:val="66"/>
        </w:trPr>
        <w:tc>
          <w:tcPr>
            <w:tcW w:w="7645" w:type="dxa"/>
            <w:shd w:val="clear" w:color="auto" w:fill="D9D9D9" w:themeFill="background1" w:themeFillShade="D9"/>
            <w:vAlign w:val="center"/>
          </w:tcPr>
          <w:p w14:paraId="52698227" w14:textId="13108C49" w:rsidR="007555DD" w:rsidRPr="007555DD" w:rsidRDefault="007555DD" w:rsidP="009D6502">
            <w:pPr>
              <w:spacing w:after="160" w:line="278" w:lineRule="auto"/>
              <w:rPr>
                <w:b/>
                <w:bCs/>
              </w:rPr>
            </w:pPr>
            <w:r w:rsidRPr="007555DD">
              <w:rPr>
                <w:b/>
                <w:bCs/>
              </w:rPr>
              <w:t>Activity</w:t>
            </w:r>
          </w:p>
        </w:tc>
        <w:tc>
          <w:tcPr>
            <w:tcW w:w="1705" w:type="dxa"/>
            <w:shd w:val="clear" w:color="auto" w:fill="D9D9D9" w:themeFill="background1" w:themeFillShade="D9"/>
            <w:vAlign w:val="center"/>
          </w:tcPr>
          <w:p w14:paraId="34B2E258" w14:textId="250A2E32" w:rsidR="007555DD" w:rsidRPr="007555DD" w:rsidRDefault="007555DD" w:rsidP="00AE6922">
            <w:pPr>
              <w:spacing w:after="160" w:line="278" w:lineRule="auto"/>
              <w:rPr>
                <w:b/>
                <w:bCs/>
              </w:rPr>
            </w:pPr>
            <w:r w:rsidRPr="007555DD">
              <w:rPr>
                <w:b/>
                <w:bCs/>
              </w:rPr>
              <w:t># of Credits</w:t>
            </w:r>
          </w:p>
        </w:tc>
      </w:tr>
      <w:tr w:rsidR="007555DD" w14:paraId="7D8F43BA" w14:textId="77777777" w:rsidTr="009D6502">
        <w:tc>
          <w:tcPr>
            <w:tcW w:w="7645" w:type="dxa"/>
            <w:vAlign w:val="center"/>
          </w:tcPr>
          <w:p w14:paraId="5C8FF88C" w14:textId="204A3CB1" w:rsidR="007555DD" w:rsidRDefault="007555DD" w:rsidP="009D6502">
            <w:pPr>
              <w:spacing w:after="160" w:line="278" w:lineRule="auto"/>
            </w:pPr>
            <w:r w:rsidRPr="00667C5E">
              <w:t>The province/territory has flood maps, has a hazard monitoring system for its flood hazard, has land use legislation/regulations for flood hazard, and has a mechanism to monitor and enforce its legislation/regulation.</w:t>
            </w:r>
          </w:p>
        </w:tc>
        <w:tc>
          <w:tcPr>
            <w:tcW w:w="1705" w:type="dxa"/>
            <w:vAlign w:val="center"/>
          </w:tcPr>
          <w:p w14:paraId="1A3EFD7C" w14:textId="385E4A7D" w:rsidR="007555DD" w:rsidRDefault="007555DD" w:rsidP="00AE6922">
            <w:pPr>
              <w:spacing w:after="160" w:line="278" w:lineRule="auto"/>
            </w:pPr>
            <w:r>
              <w:t>15</w:t>
            </w:r>
          </w:p>
        </w:tc>
      </w:tr>
      <w:tr w:rsidR="007555DD" w14:paraId="111F0364" w14:textId="77777777" w:rsidTr="009D6502">
        <w:tc>
          <w:tcPr>
            <w:tcW w:w="7645" w:type="dxa"/>
            <w:vAlign w:val="center"/>
          </w:tcPr>
          <w:p w14:paraId="47F931D1" w14:textId="473D68A3" w:rsidR="007555DD" w:rsidRPr="00667C5E" w:rsidRDefault="007555DD" w:rsidP="009D6502">
            <w:pPr>
              <w:spacing w:after="160" w:line="278" w:lineRule="auto"/>
            </w:pPr>
            <w:r w:rsidRPr="007555DD">
              <w:t>The province/territory has flood maps, has a hazard monitoring system for its flood hazard, and has land use legislation/regulations for flood hazard.</w:t>
            </w:r>
          </w:p>
        </w:tc>
        <w:tc>
          <w:tcPr>
            <w:tcW w:w="1705" w:type="dxa"/>
            <w:vAlign w:val="center"/>
          </w:tcPr>
          <w:p w14:paraId="3DF8E968" w14:textId="5903FB76" w:rsidR="007555DD" w:rsidRDefault="000335C3" w:rsidP="00AE6922">
            <w:pPr>
              <w:spacing w:after="160" w:line="278" w:lineRule="auto"/>
            </w:pPr>
            <w:r>
              <w:t>10</w:t>
            </w:r>
          </w:p>
        </w:tc>
      </w:tr>
      <w:tr w:rsidR="007555DD" w14:paraId="638EE46F" w14:textId="77777777" w:rsidTr="009D6502">
        <w:tc>
          <w:tcPr>
            <w:tcW w:w="7645" w:type="dxa"/>
            <w:vAlign w:val="center"/>
          </w:tcPr>
          <w:p w14:paraId="7C2633EC" w14:textId="742EA158" w:rsidR="007555DD" w:rsidRDefault="007555DD" w:rsidP="009D6502">
            <w:pPr>
              <w:spacing w:after="160" w:line="278" w:lineRule="auto"/>
            </w:pPr>
            <w:r w:rsidRPr="00667C5E">
              <w:rPr>
                <w:rFonts w:ascii="Aptos Narrow" w:eastAsia="Times New Roman" w:hAnsi="Aptos Narrow" w:cs="Times New Roman"/>
                <w:color w:val="000000"/>
                <w:kern w:val="0"/>
                <w:sz w:val="22"/>
                <w:szCs w:val="22"/>
                <w14:ligatures w14:val="none"/>
              </w:rPr>
              <w:t>The province/territory has flood maps and has a hazard monitoring system for its flood hazard.</w:t>
            </w:r>
          </w:p>
        </w:tc>
        <w:tc>
          <w:tcPr>
            <w:tcW w:w="1705" w:type="dxa"/>
            <w:vAlign w:val="center"/>
          </w:tcPr>
          <w:p w14:paraId="60A2E097" w14:textId="77F153BB" w:rsidR="007555DD" w:rsidRDefault="000335C3" w:rsidP="00AE6922">
            <w:pPr>
              <w:spacing w:after="160" w:line="278" w:lineRule="auto"/>
            </w:pPr>
            <w:r>
              <w:t>5</w:t>
            </w:r>
          </w:p>
        </w:tc>
      </w:tr>
      <w:tr w:rsidR="007555DD" w14:paraId="28494B83" w14:textId="77777777" w:rsidTr="009D6502">
        <w:tc>
          <w:tcPr>
            <w:tcW w:w="7645" w:type="dxa"/>
            <w:vAlign w:val="center"/>
          </w:tcPr>
          <w:p w14:paraId="7BDE5F85" w14:textId="0DDB6B03" w:rsidR="007555DD" w:rsidRDefault="007555DD" w:rsidP="009D6502">
            <w:pPr>
              <w:spacing w:after="160" w:line="278" w:lineRule="auto"/>
            </w:pPr>
            <w:r w:rsidRPr="00667C5E">
              <w:rPr>
                <w:rFonts w:ascii="Aptos Narrow" w:eastAsia="Times New Roman" w:hAnsi="Aptos Narrow" w:cs="Times New Roman"/>
                <w:color w:val="000000"/>
                <w:kern w:val="0"/>
                <w:sz w:val="22"/>
                <w:szCs w:val="22"/>
                <w14:ligatures w14:val="none"/>
              </w:rPr>
              <w:t>The province/territory has a hazard monitoring system for its flood hazard.</w:t>
            </w:r>
          </w:p>
        </w:tc>
        <w:tc>
          <w:tcPr>
            <w:tcW w:w="1705" w:type="dxa"/>
            <w:vAlign w:val="center"/>
          </w:tcPr>
          <w:p w14:paraId="1D03726C" w14:textId="5322CEF2" w:rsidR="007555DD" w:rsidRDefault="000335C3" w:rsidP="00AE6922">
            <w:pPr>
              <w:spacing w:after="160" w:line="278" w:lineRule="auto"/>
            </w:pPr>
            <w:r>
              <w:t>2</w:t>
            </w:r>
          </w:p>
        </w:tc>
      </w:tr>
      <w:tr w:rsidR="007555DD" w14:paraId="01E13FE5" w14:textId="77777777" w:rsidTr="009D6502">
        <w:tc>
          <w:tcPr>
            <w:tcW w:w="7645" w:type="dxa"/>
            <w:vAlign w:val="center"/>
          </w:tcPr>
          <w:p w14:paraId="72368CD4" w14:textId="4D869F61" w:rsidR="007555DD" w:rsidRPr="00667C5E" w:rsidRDefault="007555DD" w:rsidP="009D6502">
            <w:pPr>
              <w:spacing w:after="160" w:line="278" w:lineRule="auto"/>
              <w:rPr>
                <w:rFonts w:ascii="Aptos Narrow" w:eastAsia="Times New Roman" w:hAnsi="Aptos Narrow" w:cs="Times New Roman"/>
                <w:color w:val="000000"/>
                <w:kern w:val="0"/>
                <w:sz w:val="22"/>
                <w:szCs w:val="22"/>
                <w14:ligatures w14:val="none"/>
              </w:rPr>
            </w:pPr>
            <w:r w:rsidRPr="00667C5E">
              <w:rPr>
                <w:rFonts w:ascii="Aptos Narrow" w:eastAsia="Times New Roman" w:hAnsi="Aptos Narrow" w:cs="Times New Roman"/>
                <w:color w:val="000000"/>
                <w:kern w:val="0"/>
                <w:sz w:val="22"/>
                <w:szCs w:val="22"/>
                <w14:ligatures w14:val="none"/>
              </w:rPr>
              <w:t>The province/territory has flood maps.</w:t>
            </w:r>
          </w:p>
        </w:tc>
        <w:tc>
          <w:tcPr>
            <w:tcW w:w="1705" w:type="dxa"/>
            <w:vAlign w:val="center"/>
          </w:tcPr>
          <w:p w14:paraId="31C58738" w14:textId="17435D18" w:rsidR="007555DD" w:rsidRDefault="007555DD" w:rsidP="00AE6922">
            <w:pPr>
              <w:spacing w:after="160" w:line="278" w:lineRule="auto"/>
            </w:pPr>
            <w:r>
              <w:t>2</w:t>
            </w:r>
          </w:p>
        </w:tc>
      </w:tr>
      <w:tr w:rsidR="007555DD" w14:paraId="32BBCBA1" w14:textId="77777777" w:rsidTr="009D6502">
        <w:tc>
          <w:tcPr>
            <w:tcW w:w="7645" w:type="dxa"/>
            <w:vAlign w:val="center"/>
          </w:tcPr>
          <w:p w14:paraId="5AEA995E" w14:textId="3CCB3314" w:rsidR="007555DD" w:rsidRPr="00667C5E" w:rsidRDefault="007555DD" w:rsidP="009D6502">
            <w:pPr>
              <w:spacing w:after="160" w:line="278" w:lineRule="auto"/>
              <w:rPr>
                <w:rFonts w:ascii="Aptos Narrow" w:eastAsia="Times New Roman" w:hAnsi="Aptos Narrow" w:cs="Times New Roman"/>
                <w:color w:val="000000"/>
                <w:kern w:val="0"/>
                <w:sz w:val="22"/>
                <w:szCs w:val="22"/>
                <w14:ligatures w14:val="none"/>
              </w:rPr>
            </w:pPr>
            <w:r w:rsidRPr="00667C5E">
              <w:rPr>
                <w:rFonts w:ascii="Aptos Narrow" w:eastAsia="Times New Roman" w:hAnsi="Aptos Narrow" w:cs="Times New Roman"/>
                <w:color w:val="000000"/>
                <w:kern w:val="0"/>
                <w:sz w:val="22"/>
                <w:szCs w:val="22"/>
                <w14:ligatures w14:val="none"/>
              </w:rPr>
              <w:lastRenderedPageBreak/>
              <w:t>The province/territory does not map, monitor, or regulate its flood hazard.</w:t>
            </w:r>
          </w:p>
        </w:tc>
        <w:tc>
          <w:tcPr>
            <w:tcW w:w="1705" w:type="dxa"/>
            <w:vAlign w:val="center"/>
          </w:tcPr>
          <w:p w14:paraId="750A99D1" w14:textId="786F989C" w:rsidR="007555DD" w:rsidRDefault="007555DD" w:rsidP="00AE6922">
            <w:pPr>
              <w:spacing w:after="160" w:line="278" w:lineRule="auto"/>
            </w:pPr>
            <w:r>
              <w:t>0</w:t>
            </w:r>
          </w:p>
        </w:tc>
      </w:tr>
      <w:tr w:rsidR="007555DD" w:rsidRPr="00AE6922" w14:paraId="41AA0212" w14:textId="77777777" w:rsidTr="009D6502">
        <w:tc>
          <w:tcPr>
            <w:tcW w:w="7645" w:type="dxa"/>
            <w:vAlign w:val="center"/>
          </w:tcPr>
          <w:p w14:paraId="2014C366" w14:textId="6ACEFB4A" w:rsidR="000335C3" w:rsidRPr="00AE6922" w:rsidRDefault="007555DD" w:rsidP="009D6502">
            <w:pPr>
              <w:spacing w:after="160" w:line="278" w:lineRule="auto"/>
              <w:rPr>
                <w:rFonts w:eastAsia="Times New Roman" w:cs="Times New Roman"/>
                <w:b/>
                <w:bCs/>
                <w:color w:val="000000"/>
                <w:kern w:val="0"/>
                <w14:ligatures w14:val="none"/>
              </w:rPr>
            </w:pPr>
            <w:r w:rsidRPr="00AE6922">
              <w:rPr>
                <w:rFonts w:eastAsia="Times New Roman" w:cs="Times New Roman"/>
                <w:b/>
                <w:bCs/>
                <w:color w:val="000000"/>
                <w:kern w:val="0"/>
                <w14:ligatures w14:val="none"/>
              </w:rPr>
              <w:t>Bonus Credit for Quality of Published Flood Hazard Maps</w:t>
            </w:r>
            <w:r w:rsidR="000335C3" w:rsidRPr="00AE6922">
              <w:rPr>
                <w:rFonts w:eastAsia="Times New Roman" w:cs="Times New Roman"/>
                <w:b/>
                <w:bCs/>
                <w:color w:val="000000"/>
                <w:kern w:val="0"/>
                <w14:ligatures w14:val="none"/>
              </w:rPr>
              <w:t>.</w:t>
            </w:r>
          </w:p>
          <w:p w14:paraId="001E7AD7" w14:textId="46720ACA" w:rsidR="007555DD" w:rsidRPr="00AE6922" w:rsidRDefault="007555DD" w:rsidP="009D6502">
            <w:pPr>
              <w:spacing w:after="160" w:line="278" w:lineRule="auto"/>
              <w:rPr>
                <w:rFonts w:eastAsia="Times New Roman" w:cs="Times New Roman"/>
                <w:color w:val="000000"/>
                <w:kern w:val="0"/>
                <w14:ligatures w14:val="none"/>
              </w:rPr>
            </w:pPr>
            <w:r w:rsidRPr="00AE6922">
              <w:rPr>
                <w:rFonts w:eastAsia="Times New Roman" w:cs="Times New Roman"/>
                <w:color w:val="000000"/>
                <w:kern w:val="0"/>
                <w14:ligatures w14:val="none"/>
              </w:rPr>
              <w:t>Published flood maps reflect the impacts of climate change over a 75-year design horizon, include all relevant flood-generating mechanisms (coastal, fluvial, pluvial, structural protection failure, ice jam flooding), identify areas which would be inundated by a failure of a major flood protection system, and are stamped by a professional engineer.</w:t>
            </w:r>
          </w:p>
        </w:tc>
        <w:tc>
          <w:tcPr>
            <w:tcW w:w="1705" w:type="dxa"/>
            <w:vAlign w:val="center"/>
          </w:tcPr>
          <w:p w14:paraId="2C5B326B" w14:textId="74370AF3" w:rsidR="007555DD" w:rsidRPr="00AE6922" w:rsidRDefault="000335C3" w:rsidP="00AE6922">
            <w:pPr>
              <w:spacing w:after="160" w:line="278" w:lineRule="auto"/>
            </w:pPr>
            <w:r w:rsidRPr="00AE6922">
              <w:t>3</w:t>
            </w:r>
          </w:p>
        </w:tc>
      </w:tr>
      <w:tr w:rsidR="007555DD" w:rsidRPr="00AE6922" w14:paraId="181C958A" w14:textId="77777777" w:rsidTr="009D6502">
        <w:tc>
          <w:tcPr>
            <w:tcW w:w="7645" w:type="dxa"/>
            <w:vAlign w:val="center"/>
          </w:tcPr>
          <w:p w14:paraId="3BE91F7F" w14:textId="4FCC470F" w:rsidR="007555DD" w:rsidRPr="00AE6922" w:rsidRDefault="007555DD" w:rsidP="009D6502">
            <w:pPr>
              <w:spacing w:after="160" w:line="278" w:lineRule="auto"/>
              <w:rPr>
                <w:rFonts w:eastAsia="Times New Roman" w:cs="Times New Roman"/>
                <w:b/>
                <w:bCs/>
                <w:color w:val="000000"/>
                <w:kern w:val="0"/>
                <w14:ligatures w14:val="none"/>
              </w:rPr>
            </w:pPr>
            <w:r w:rsidRPr="00AE6922">
              <w:rPr>
                <w:rFonts w:eastAsia="Times New Roman" w:cs="Times New Roman"/>
                <w:b/>
                <w:bCs/>
                <w:color w:val="000000"/>
                <w:kern w:val="0"/>
                <w14:ligatures w14:val="none"/>
              </w:rPr>
              <w:t>Bonus Credit for Flood Hazard Mapping Requirements</w:t>
            </w:r>
            <w:r w:rsidR="000335C3" w:rsidRPr="00AE6922">
              <w:rPr>
                <w:rFonts w:eastAsia="Times New Roman" w:cs="Times New Roman"/>
                <w:b/>
                <w:bCs/>
                <w:color w:val="000000"/>
                <w:kern w:val="0"/>
                <w14:ligatures w14:val="none"/>
              </w:rPr>
              <w:t>.</w:t>
            </w:r>
          </w:p>
          <w:p w14:paraId="10D20EE7" w14:textId="635E838A" w:rsidR="007555DD" w:rsidRPr="00AE6922" w:rsidRDefault="007555DD" w:rsidP="009D6502">
            <w:pPr>
              <w:spacing w:after="160" w:line="278" w:lineRule="auto"/>
              <w:rPr>
                <w:rFonts w:eastAsia="Times New Roman" w:cs="Times New Roman"/>
                <w:color w:val="000000"/>
                <w:kern w:val="0"/>
                <w14:ligatures w14:val="none"/>
              </w:rPr>
            </w:pPr>
            <w:r w:rsidRPr="00AE6922">
              <w:rPr>
                <w:rFonts w:eastAsia="Times New Roman" w:cs="Times New Roman"/>
                <w:color w:val="000000"/>
                <w:kern w:val="0"/>
                <w14:ligatures w14:val="none"/>
              </w:rPr>
              <w:t>The province/territory has standardized requirements for all flood maps in its jurisdiction, and at a minimum these requirements include the following:</w:t>
            </w:r>
          </w:p>
          <w:p w14:paraId="65926299" w14:textId="77777777" w:rsidR="007555DD" w:rsidRPr="00AE6922" w:rsidRDefault="007555DD" w:rsidP="009D6502">
            <w:pPr>
              <w:pStyle w:val="ListParagraph"/>
              <w:numPr>
                <w:ilvl w:val="0"/>
                <w:numId w:val="13"/>
              </w:numPr>
              <w:spacing w:after="160" w:line="278" w:lineRule="auto"/>
              <w:contextualSpacing w:val="0"/>
              <w:rPr>
                <w:rFonts w:eastAsia="Times New Roman" w:cs="Times New Roman"/>
                <w:b/>
                <w:bCs/>
                <w:color w:val="000000"/>
                <w:kern w:val="0"/>
                <w14:ligatures w14:val="none"/>
              </w:rPr>
            </w:pPr>
            <w:r w:rsidRPr="00AE6922">
              <w:rPr>
                <w:rFonts w:eastAsia="Times New Roman" w:cs="Times New Roman"/>
                <w:color w:val="000000"/>
                <w:kern w:val="0"/>
                <w14:ligatures w14:val="none"/>
              </w:rPr>
              <w:t>To reflect the impacts of climate change over a 75-year design horizon</w:t>
            </w:r>
          </w:p>
          <w:p w14:paraId="3BDD67A4" w14:textId="77777777" w:rsidR="007555DD" w:rsidRPr="00AE6922" w:rsidRDefault="007555DD" w:rsidP="009D6502">
            <w:pPr>
              <w:pStyle w:val="ListParagraph"/>
              <w:numPr>
                <w:ilvl w:val="0"/>
                <w:numId w:val="13"/>
              </w:numPr>
              <w:spacing w:after="160" w:line="278" w:lineRule="auto"/>
              <w:contextualSpacing w:val="0"/>
              <w:rPr>
                <w:rFonts w:eastAsia="Times New Roman" w:cs="Times New Roman"/>
                <w:b/>
                <w:bCs/>
                <w:color w:val="000000"/>
                <w:kern w:val="0"/>
                <w14:ligatures w14:val="none"/>
              </w:rPr>
            </w:pPr>
            <w:r w:rsidRPr="00AE6922">
              <w:rPr>
                <w:rFonts w:eastAsia="Times New Roman" w:cs="Times New Roman"/>
                <w:color w:val="000000"/>
                <w:kern w:val="0"/>
                <w14:ligatures w14:val="none"/>
              </w:rPr>
              <w:t>To include all relevant flood-generating mechanisms (coastal, fluvial, pluvial, structural protection failure, ice jam flooding)</w:t>
            </w:r>
          </w:p>
          <w:p w14:paraId="0CA5434E" w14:textId="77777777" w:rsidR="000335C3" w:rsidRPr="00AE6922" w:rsidRDefault="007555DD" w:rsidP="009D6502">
            <w:pPr>
              <w:pStyle w:val="ListParagraph"/>
              <w:numPr>
                <w:ilvl w:val="0"/>
                <w:numId w:val="13"/>
              </w:numPr>
              <w:spacing w:after="160" w:line="278" w:lineRule="auto"/>
              <w:contextualSpacing w:val="0"/>
              <w:rPr>
                <w:rFonts w:eastAsia="Times New Roman" w:cs="Times New Roman"/>
                <w:color w:val="000000"/>
                <w:kern w:val="0"/>
                <w14:ligatures w14:val="none"/>
              </w:rPr>
            </w:pPr>
            <w:r w:rsidRPr="00AE6922">
              <w:rPr>
                <w:rFonts w:eastAsia="Times New Roman" w:cs="Times New Roman"/>
                <w:color w:val="000000"/>
                <w:kern w:val="0"/>
                <w14:ligatures w14:val="none"/>
              </w:rPr>
              <w:t>To identify areas which would be inundated by a failure of a major flood protection system</w:t>
            </w:r>
          </w:p>
          <w:p w14:paraId="60945F9C" w14:textId="531FF921" w:rsidR="007555DD" w:rsidRPr="00AE6922" w:rsidRDefault="007555DD" w:rsidP="009D6502">
            <w:pPr>
              <w:pStyle w:val="ListParagraph"/>
              <w:numPr>
                <w:ilvl w:val="0"/>
                <w:numId w:val="13"/>
              </w:numPr>
              <w:spacing w:after="160" w:line="278" w:lineRule="auto"/>
              <w:contextualSpacing w:val="0"/>
              <w:rPr>
                <w:rFonts w:eastAsia="Times New Roman" w:cs="Times New Roman"/>
                <w:color w:val="000000"/>
                <w:kern w:val="0"/>
                <w14:ligatures w14:val="none"/>
              </w:rPr>
            </w:pPr>
            <w:r w:rsidRPr="00AE6922">
              <w:rPr>
                <w:rFonts w:eastAsia="Times New Roman" w:cs="Times New Roman"/>
                <w:color w:val="000000"/>
                <w:kern w:val="0"/>
                <w14:ligatures w14:val="none"/>
              </w:rPr>
              <w:t xml:space="preserve">An established cycle for how often flood maps should be updated  </w:t>
            </w:r>
          </w:p>
        </w:tc>
        <w:tc>
          <w:tcPr>
            <w:tcW w:w="1705" w:type="dxa"/>
            <w:vAlign w:val="center"/>
          </w:tcPr>
          <w:p w14:paraId="3724C168" w14:textId="3B13B26C" w:rsidR="007555DD" w:rsidRPr="00AE6922" w:rsidRDefault="000335C3" w:rsidP="00AE6922">
            <w:pPr>
              <w:spacing w:after="160" w:line="278" w:lineRule="auto"/>
            </w:pPr>
            <w:r w:rsidRPr="00AE6922">
              <w:t>2</w:t>
            </w:r>
          </w:p>
        </w:tc>
      </w:tr>
      <w:tr w:rsidR="001A60E1" w:rsidRPr="00AE6922" w14:paraId="21988382" w14:textId="77777777" w:rsidTr="005B5ED6">
        <w:tc>
          <w:tcPr>
            <w:tcW w:w="9350" w:type="dxa"/>
            <w:gridSpan w:val="2"/>
            <w:vAlign w:val="center"/>
          </w:tcPr>
          <w:p w14:paraId="35E15C23" w14:textId="7F997EAE" w:rsidR="001A60E1" w:rsidRPr="00AE6922" w:rsidRDefault="001A60E1" w:rsidP="00AE6922">
            <w:pPr>
              <w:spacing w:after="160" w:line="278" w:lineRule="auto"/>
            </w:pPr>
            <w:r w:rsidRPr="00AE6922">
              <w:rPr>
                <w:rFonts w:eastAsia="Times New Roman" w:cs="Times New Roman"/>
                <w:b/>
                <w:bCs/>
                <w:color w:val="000000"/>
                <w:kern w:val="0"/>
                <w14:ligatures w14:val="none"/>
              </w:rPr>
              <w:t>Note:</w:t>
            </w:r>
            <w:r w:rsidRPr="00AE6922">
              <w:rPr>
                <w:rFonts w:eastAsia="Times New Roman" w:cs="Times New Roman"/>
                <w:color w:val="000000"/>
                <w:kern w:val="0"/>
                <w14:ligatures w14:val="none"/>
              </w:rPr>
              <w:t xml:space="preserve"> Provide a brief description of how the province/territory meets </w:t>
            </w:r>
            <w:proofErr w:type="gramStart"/>
            <w:r w:rsidRPr="00AE6922">
              <w:rPr>
                <w:rFonts w:eastAsia="Times New Roman" w:cs="Times New Roman"/>
                <w:color w:val="000000"/>
                <w:kern w:val="0"/>
                <w14:ligatures w14:val="none"/>
              </w:rPr>
              <w:t>this criteria</w:t>
            </w:r>
            <w:proofErr w:type="gramEnd"/>
            <w:r w:rsidRPr="00AE6922">
              <w:rPr>
                <w:rFonts w:eastAsia="Times New Roman" w:cs="Times New Roman"/>
                <w:color w:val="000000"/>
                <w:kern w:val="0"/>
                <w14:ligatures w14:val="none"/>
              </w:rPr>
              <w:t xml:space="preserve"> and provide supporting evidence</w:t>
            </w:r>
          </w:p>
        </w:tc>
      </w:tr>
    </w:tbl>
    <w:p w14:paraId="34C7C894" w14:textId="77777777" w:rsidR="007555DD" w:rsidRDefault="007555DD" w:rsidP="007555DD"/>
    <w:p w14:paraId="45E3DD69" w14:textId="77777777" w:rsidR="007248AA" w:rsidRPr="007248AA" w:rsidRDefault="007248AA" w:rsidP="007248AA">
      <w:pPr>
        <w:pStyle w:val="Heading3"/>
      </w:pPr>
      <w:r w:rsidRPr="007248AA">
        <w:t>Wildfire risk</w:t>
      </w:r>
    </w:p>
    <w:p w14:paraId="51B1D41E" w14:textId="77777777" w:rsidR="007248AA" w:rsidRPr="007248AA" w:rsidRDefault="007248AA" w:rsidP="007248AA">
      <w:pPr>
        <w:pStyle w:val="Heading4"/>
      </w:pPr>
      <w:r w:rsidRPr="007248AA">
        <w:t>Activity</w:t>
      </w:r>
    </w:p>
    <w:p w14:paraId="2E236DF9" w14:textId="77777777" w:rsidR="007248AA" w:rsidRPr="007248AA" w:rsidRDefault="007248AA" w:rsidP="007248AA">
      <w:r w:rsidRPr="007248AA">
        <w:t>The province/territory maps, monitors, and regulates its wildfire risk.</w:t>
      </w:r>
    </w:p>
    <w:p w14:paraId="203EB297" w14:textId="77777777" w:rsidR="007248AA" w:rsidRPr="007248AA" w:rsidRDefault="007248AA" w:rsidP="007248AA">
      <w:pPr>
        <w:pStyle w:val="Heading4"/>
      </w:pPr>
      <w:r w:rsidRPr="007248AA">
        <w:t>Criteria</w:t>
      </w:r>
    </w:p>
    <w:p w14:paraId="20560920" w14:textId="77777777" w:rsidR="007248AA" w:rsidRPr="007248AA" w:rsidRDefault="007248AA" w:rsidP="007248AA">
      <w:r w:rsidRPr="007248AA">
        <w:t>Hazard Mapping</w:t>
      </w:r>
    </w:p>
    <w:p w14:paraId="1FA8C1EE" w14:textId="77777777" w:rsidR="007248AA" w:rsidRPr="007248AA" w:rsidRDefault="007248AA" w:rsidP="007248AA">
      <w:pPr>
        <w:pStyle w:val="ListParagraph"/>
        <w:numPr>
          <w:ilvl w:val="0"/>
          <w:numId w:val="19"/>
        </w:numPr>
      </w:pPr>
      <w:r w:rsidRPr="007248AA">
        <w:t>To receive credit, wildfire hazard maps must meet both the quality and coverage criteria</w:t>
      </w:r>
    </w:p>
    <w:p w14:paraId="28248EDF" w14:textId="77777777" w:rsidR="007248AA" w:rsidRPr="007248AA" w:rsidRDefault="007248AA" w:rsidP="007248AA">
      <w:r w:rsidRPr="007248AA">
        <w:t>Quality</w:t>
      </w:r>
    </w:p>
    <w:p w14:paraId="1D89B876" w14:textId="77777777" w:rsidR="007248AA" w:rsidRPr="007248AA" w:rsidRDefault="007248AA" w:rsidP="007248AA">
      <w:pPr>
        <w:pStyle w:val="ListParagraph"/>
        <w:numPr>
          <w:ilvl w:val="0"/>
          <w:numId w:val="19"/>
        </w:numPr>
      </w:pPr>
      <w:r w:rsidRPr="007248AA">
        <w:lastRenderedPageBreak/>
        <w:t>Current: Have been updated within the past ten years</w:t>
      </w:r>
    </w:p>
    <w:p w14:paraId="47764A3A" w14:textId="77777777" w:rsidR="007248AA" w:rsidRPr="007248AA" w:rsidRDefault="007248AA" w:rsidP="007248AA">
      <w:pPr>
        <w:pStyle w:val="ListParagraph"/>
        <w:numPr>
          <w:ilvl w:val="0"/>
          <w:numId w:val="19"/>
        </w:numPr>
      </w:pPr>
      <w:r w:rsidRPr="007248AA">
        <w:t>Publicly accessible: Available free of charge in a digital format through an online platform</w:t>
      </w:r>
    </w:p>
    <w:p w14:paraId="200A783A" w14:textId="77777777" w:rsidR="007248AA" w:rsidRPr="007248AA" w:rsidRDefault="007248AA" w:rsidP="007248AA">
      <w:pPr>
        <w:pStyle w:val="ListParagraph"/>
        <w:numPr>
          <w:ilvl w:val="0"/>
          <w:numId w:val="19"/>
        </w:numPr>
      </w:pPr>
      <w:r w:rsidRPr="007248AA">
        <w:t>Authoritative: Be of regulatory quality for the jurisdiction and identify areas of high risk</w:t>
      </w:r>
    </w:p>
    <w:p w14:paraId="4CB304CA" w14:textId="77777777" w:rsidR="007248AA" w:rsidRPr="007248AA" w:rsidRDefault="007248AA" w:rsidP="007248AA">
      <w:r w:rsidRPr="007248AA">
        <w:t>Coverage</w:t>
      </w:r>
    </w:p>
    <w:p w14:paraId="0ACB8A4F" w14:textId="77777777" w:rsidR="007248AA" w:rsidRPr="007248AA" w:rsidRDefault="007248AA" w:rsidP="007248AA">
      <w:pPr>
        <w:pStyle w:val="ListParagraph"/>
        <w:numPr>
          <w:ilvl w:val="0"/>
          <w:numId w:val="20"/>
        </w:numPr>
      </w:pPr>
      <w:r w:rsidRPr="007248AA">
        <w:t>Wildfire hazard maps cover at least 75% of the potential risk area</w:t>
      </w:r>
    </w:p>
    <w:p w14:paraId="3D85B2C5" w14:textId="77777777" w:rsidR="007248AA" w:rsidRPr="007248AA" w:rsidRDefault="007248AA" w:rsidP="007248AA">
      <w:r w:rsidRPr="007248AA">
        <w:t>Hazard Monitoring</w:t>
      </w:r>
    </w:p>
    <w:p w14:paraId="4D2800A3" w14:textId="77777777" w:rsidR="007248AA" w:rsidRPr="007248AA" w:rsidRDefault="007248AA" w:rsidP="007248AA">
      <w:r w:rsidRPr="007248AA">
        <w:t>Hazard monitoring means the systematic and ongoing observation of environmental conditions, natural phenomena, and human activities that contribute to hazard risk. To receive credit, a wildfire hazard monitoring system must be:</w:t>
      </w:r>
    </w:p>
    <w:p w14:paraId="12AD5B96" w14:textId="77777777" w:rsidR="007248AA" w:rsidRPr="007248AA" w:rsidRDefault="007248AA" w:rsidP="007248AA">
      <w:pPr>
        <w:pStyle w:val="ListParagraph"/>
        <w:numPr>
          <w:ilvl w:val="0"/>
          <w:numId w:val="20"/>
        </w:numPr>
      </w:pPr>
      <w:r w:rsidRPr="007248AA">
        <w:t>Systematic: Include a mechanism for systematic and ongoing observation (e.g., satellite data, weather monitoring, sensors, etc.)</w:t>
      </w:r>
    </w:p>
    <w:p w14:paraId="1F9F5253" w14:textId="77777777" w:rsidR="007248AA" w:rsidRPr="007248AA" w:rsidRDefault="007248AA" w:rsidP="007248AA">
      <w:pPr>
        <w:pStyle w:val="ListParagraph"/>
        <w:numPr>
          <w:ilvl w:val="0"/>
          <w:numId w:val="20"/>
        </w:numPr>
      </w:pPr>
      <w:r w:rsidRPr="007248AA">
        <w:t>Publicly available: Include a mechanism to publicize hazard forecasts free of charge</w:t>
      </w:r>
    </w:p>
    <w:p w14:paraId="3E2602E8" w14:textId="77777777" w:rsidR="007248AA" w:rsidRPr="007248AA" w:rsidRDefault="007248AA" w:rsidP="007248AA">
      <w:pPr>
        <w:pStyle w:val="ListParagraph"/>
        <w:numPr>
          <w:ilvl w:val="0"/>
          <w:numId w:val="20"/>
        </w:numPr>
      </w:pPr>
      <w:r w:rsidRPr="007248AA">
        <w:t>Actionable: Be connected to an early warning system that can issue warnings/alerts about imminent danger from the hazard (e.g., Alert Ready, push notifications, media warnings, sirens, etc.)</w:t>
      </w:r>
    </w:p>
    <w:p w14:paraId="534A666E" w14:textId="77777777" w:rsidR="007248AA" w:rsidRPr="007248AA" w:rsidRDefault="007248AA" w:rsidP="007248AA">
      <w:r w:rsidRPr="007248AA">
        <w:t>Legislation/Regulations</w:t>
      </w:r>
    </w:p>
    <w:p w14:paraId="6848763B" w14:textId="77777777" w:rsidR="007248AA" w:rsidRPr="007248AA" w:rsidRDefault="007248AA" w:rsidP="007248AA">
      <w:r w:rsidRPr="007248AA">
        <w:t>To receive credit, legislation/regulations must:</w:t>
      </w:r>
    </w:p>
    <w:p w14:paraId="3EECA155" w14:textId="77777777" w:rsidR="007248AA" w:rsidRPr="007248AA" w:rsidRDefault="007248AA" w:rsidP="007248AA">
      <w:pPr>
        <w:pStyle w:val="ListParagraph"/>
        <w:numPr>
          <w:ilvl w:val="0"/>
          <w:numId w:val="21"/>
        </w:numPr>
      </w:pPr>
      <w:r w:rsidRPr="007248AA">
        <w:t>Establish what high risk is for the hazard; and</w:t>
      </w:r>
    </w:p>
    <w:p w14:paraId="16F602F0" w14:textId="77777777" w:rsidR="007248AA" w:rsidRPr="007248AA" w:rsidRDefault="007248AA" w:rsidP="007248AA">
      <w:pPr>
        <w:pStyle w:val="ListParagraph"/>
        <w:numPr>
          <w:ilvl w:val="0"/>
          <w:numId w:val="21"/>
        </w:numPr>
      </w:pPr>
      <w:r w:rsidRPr="007248AA">
        <w:t xml:space="preserve">Include restrictions for unmitigated development/establish appropriate mitigation criteria in </w:t>
      </w:r>
      <w:proofErr w:type="gramStart"/>
      <w:r w:rsidRPr="007248AA">
        <w:t>high risk</w:t>
      </w:r>
      <w:proofErr w:type="gramEnd"/>
      <w:r w:rsidRPr="007248AA">
        <w:t xml:space="preserve"> areas</w:t>
      </w:r>
    </w:p>
    <w:p w14:paraId="76DB687B" w14:textId="77777777" w:rsidR="007248AA" w:rsidRPr="007248AA" w:rsidRDefault="007248AA" w:rsidP="007248AA">
      <w:r w:rsidRPr="007248AA">
        <w:t>To receive credit for monitoring and enforcing its land use legislation/regulations, the province/territory must demonstrate:</w:t>
      </w:r>
    </w:p>
    <w:p w14:paraId="5A4438D5" w14:textId="77777777" w:rsidR="007248AA" w:rsidRPr="007248AA" w:rsidRDefault="007248AA" w:rsidP="007248AA">
      <w:pPr>
        <w:pStyle w:val="ListParagraph"/>
        <w:numPr>
          <w:ilvl w:val="0"/>
          <w:numId w:val="22"/>
        </w:numPr>
      </w:pPr>
      <w:r w:rsidRPr="007248AA">
        <w:t>How it tracks compliance with its legislation/regulations; and</w:t>
      </w:r>
    </w:p>
    <w:p w14:paraId="439A521F" w14:textId="702AEE7B" w:rsidR="00A21235" w:rsidRPr="00CD0B94" w:rsidRDefault="007248AA" w:rsidP="00CD0B94">
      <w:pPr>
        <w:pStyle w:val="ListParagraph"/>
        <w:numPr>
          <w:ilvl w:val="0"/>
          <w:numId w:val="22"/>
        </w:numPr>
      </w:pPr>
      <w:r w:rsidRPr="007248AA">
        <w:t>Its system for handling non-compliance</w:t>
      </w:r>
    </w:p>
    <w:p w14:paraId="21701AD0" w14:textId="42E1E286" w:rsidR="00CD0B94" w:rsidRPr="00CD0B94" w:rsidRDefault="00CD0B94" w:rsidP="00E4232C">
      <w:pPr>
        <w:pStyle w:val="Heading5"/>
        <w:jc w:val="center"/>
      </w:pPr>
      <w:r w:rsidRPr="00CD0B94">
        <w:t>Table 1.2: Wildfire risk</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9D6502" w:rsidRPr="007555DD" w14:paraId="53AA8ED4" w14:textId="77777777" w:rsidTr="004963F4">
        <w:trPr>
          <w:trHeight w:val="66"/>
        </w:trPr>
        <w:tc>
          <w:tcPr>
            <w:tcW w:w="7645" w:type="dxa"/>
            <w:shd w:val="clear" w:color="auto" w:fill="D9D9D9" w:themeFill="background1" w:themeFillShade="D9"/>
            <w:vAlign w:val="center"/>
          </w:tcPr>
          <w:p w14:paraId="5BE5A9BA" w14:textId="77777777" w:rsidR="009D6502" w:rsidRPr="007555DD" w:rsidRDefault="009D6502" w:rsidP="004963F4">
            <w:pPr>
              <w:spacing w:after="160" w:line="278" w:lineRule="auto"/>
              <w:rPr>
                <w:b/>
                <w:bCs/>
              </w:rPr>
            </w:pPr>
            <w:r w:rsidRPr="007555DD">
              <w:rPr>
                <w:b/>
                <w:bCs/>
              </w:rPr>
              <w:t>Activity</w:t>
            </w:r>
          </w:p>
        </w:tc>
        <w:tc>
          <w:tcPr>
            <w:tcW w:w="1705" w:type="dxa"/>
            <w:shd w:val="clear" w:color="auto" w:fill="D9D9D9" w:themeFill="background1" w:themeFillShade="D9"/>
            <w:vAlign w:val="center"/>
          </w:tcPr>
          <w:p w14:paraId="14AD33D7" w14:textId="77777777" w:rsidR="009D6502" w:rsidRPr="007555DD" w:rsidRDefault="009D6502" w:rsidP="00AE6922">
            <w:pPr>
              <w:spacing w:after="160" w:line="278" w:lineRule="auto"/>
              <w:rPr>
                <w:b/>
                <w:bCs/>
              </w:rPr>
            </w:pPr>
            <w:r w:rsidRPr="007555DD">
              <w:rPr>
                <w:b/>
                <w:bCs/>
              </w:rPr>
              <w:t># of Credits</w:t>
            </w:r>
          </w:p>
        </w:tc>
      </w:tr>
    </w:tbl>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42"/>
        <w:gridCol w:w="1702"/>
      </w:tblGrid>
      <w:tr w:rsidR="009D6502" w:rsidRPr="00CD0B94" w14:paraId="4C2FABFB" w14:textId="77777777" w:rsidTr="00E87ECA">
        <w:trPr>
          <w:trHeight w:val="495"/>
        </w:trPr>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A0992D1" w14:textId="3966EFCC" w:rsidR="009D6502" w:rsidRPr="00CD0B94" w:rsidRDefault="009D6502" w:rsidP="00CD0B94">
            <w:r w:rsidRPr="00CD0B94">
              <w:t xml:space="preserve">The province/territory has maps for its wildfire risk, has a hazard monitoring system, has regulations that restrict unmitigated development/establish appropriate mitigation criteria in areas with high </w:t>
            </w:r>
            <w:r w:rsidRPr="00CD0B94">
              <w:lastRenderedPageBreak/>
              <w:t>risk for wildfires, and has a mechanism to monitor and enforce its legislation/regulations.</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C524BB9" w14:textId="365655B9" w:rsidR="009D6502" w:rsidRPr="00CD0B94" w:rsidRDefault="009D6502" w:rsidP="00CD0B94">
            <w:r w:rsidRPr="00CD0B94">
              <w:lastRenderedPageBreak/>
              <w:t>15</w:t>
            </w:r>
          </w:p>
        </w:tc>
      </w:tr>
      <w:tr w:rsidR="00CD0B94" w:rsidRPr="00CD0B94" w14:paraId="56E10129" w14:textId="77777777" w:rsidTr="00CD0B94">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E26C1E" w14:textId="77777777" w:rsidR="00CD0B94" w:rsidRPr="00CD0B94" w:rsidRDefault="00CD0B94" w:rsidP="00CD0B94">
            <w:r w:rsidRPr="00CD0B94">
              <w:t>The province/territory has maps for its wildfire risk, has a hazard monitoring system, and has legislation/regulations that restrict unmitigated development/establish appropriate mitigation criteria in areas with high risk for wildfires.</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5A865A" w14:textId="77777777" w:rsidR="00CD0B94" w:rsidRPr="00CD0B94" w:rsidRDefault="00CD0B94" w:rsidP="00CD0B94">
            <w:r w:rsidRPr="00CD0B94">
              <w:t>10</w:t>
            </w:r>
          </w:p>
        </w:tc>
      </w:tr>
      <w:tr w:rsidR="00CD0B94" w:rsidRPr="00CD0B94" w14:paraId="689E4126" w14:textId="77777777" w:rsidTr="00CD0B94">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F67344" w14:textId="77777777" w:rsidR="00CD0B94" w:rsidRPr="00CD0B94" w:rsidRDefault="00CD0B94" w:rsidP="00CD0B94">
            <w:r w:rsidRPr="00CD0B94">
              <w:t>The province/territory has maps for its wildfire risk and has a hazard monitoring system for wildfire risk.</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B0A45C" w14:textId="77777777" w:rsidR="00CD0B94" w:rsidRPr="00CD0B94" w:rsidRDefault="00CD0B94" w:rsidP="00CD0B94">
            <w:r w:rsidRPr="00CD0B94">
              <w:t>5</w:t>
            </w:r>
          </w:p>
        </w:tc>
      </w:tr>
      <w:tr w:rsidR="00CD0B94" w:rsidRPr="00CD0B94" w14:paraId="600302AC" w14:textId="77777777" w:rsidTr="00CD0B94">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3645F1" w14:textId="77777777" w:rsidR="00CD0B94" w:rsidRPr="00CD0B94" w:rsidRDefault="00CD0B94" w:rsidP="00CD0B94">
            <w:r w:rsidRPr="00CD0B94">
              <w:t>The province/territory has a hazard monitoring system for its wildfire risk.</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26010C" w14:textId="77777777" w:rsidR="00CD0B94" w:rsidRPr="00CD0B94" w:rsidRDefault="00CD0B94" w:rsidP="00CD0B94">
            <w:r w:rsidRPr="00CD0B94">
              <w:t>2</w:t>
            </w:r>
          </w:p>
        </w:tc>
      </w:tr>
      <w:tr w:rsidR="00CD0B94" w:rsidRPr="00CD0B94" w14:paraId="00AEF255" w14:textId="77777777" w:rsidTr="00CD0B94">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8A6E1A" w14:textId="77777777" w:rsidR="00CD0B94" w:rsidRPr="00CD0B94" w:rsidRDefault="00CD0B94" w:rsidP="00CD0B94">
            <w:r w:rsidRPr="00CD0B94">
              <w:t>The province/territory has maps for its wildfire risk.</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AED1AE" w14:textId="77777777" w:rsidR="00CD0B94" w:rsidRPr="00CD0B94" w:rsidRDefault="00CD0B94" w:rsidP="00CD0B94">
            <w:r w:rsidRPr="00CD0B94">
              <w:t>2</w:t>
            </w:r>
          </w:p>
        </w:tc>
      </w:tr>
      <w:tr w:rsidR="00CD0B94" w:rsidRPr="00CD0B94" w14:paraId="753E3303" w14:textId="77777777" w:rsidTr="00CD0B94">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934C7E" w14:textId="77777777" w:rsidR="00CD0B94" w:rsidRPr="00CD0B94" w:rsidRDefault="00CD0B94" w:rsidP="00CD0B94">
            <w:r w:rsidRPr="00CD0B94">
              <w:t>The province/territory does not map, regulate, or monitor its wildfire risk.</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EA5EA7" w14:textId="77777777" w:rsidR="00CD0B94" w:rsidRPr="00CD0B94" w:rsidRDefault="00CD0B94" w:rsidP="00CD0B94">
            <w:r w:rsidRPr="00CD0B94">
              <w:t>0</w:t>
            </w:r>
          </w:p>
        </w:tc>
      </w:tr>
      <w:tr w:rsidR="00CD0B94" w:rsidRPr="00CD0B94" w14:paraId="72B835F1" w14:textId="77777777" w:rsidTr="00CD0B94">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37EE27" w14:textId="77777777" w:rsidR="00CD0B94" w:rsidRPr="00CD0B94" w:rsidRDefault="00CD0B94" w:rsidP="00CD0B94">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3B759B13" w14:textId="77777777" w:rsidR="00E4232C" w:rsidRDefault="00E4232C" w:rsidP="00CD0B94"/>
    <w:p w14:paraId="1FFA4E6C" w14:textId="781AE950" w:rsidR="00CD0B94" w:rsidRPr="00CD0B94" w:rsidRDefault="00CD0B94" w:rsidP="00E87ECA">
      <w:pPr>
        <w:pStyle w:val="Heading3"/>
        <w:spacing w:before="0" w:after="160"/>
      </w:pPr>
      <w:r w:rsidRPr="00CD0B94">
        <w:t>One additional natural hazard</w:t>
      </w:r>
    </w:p>
    <w:p w14:paraId="609F400D" w14:textId="77777777" w:rsidR="00CD0B94" w:rsidRPr="00CD0B94" w:rsidRDefault="00CD0B94" w:rsidP="00E87ECA">
      <w:pPr>
        <w:pStyle w:val="Heading4"/>
        <w:spacing w:before="0" w:after="160"/>
      </w:pPr>
      <w:r w:rsidRPr="00CD0B94">
        <w:t>Activity</w:t>
      </w:r>
    </w:p>
    <w:p w14:paraId="5869231D" w14:textId="77777777" w:rsidR="00CD0B94" w:rsidRPr="00CD0B94" w:rsidRDefault="00CD0B94" w:rsidP="00E87ECA">
      <w:r w:rsidRPr="00CD0B94">
        <w:t>The province/territory may add one additional natural hazard (e.g., earthquake, hurricane, landslide, snowstorms, etc.) that is a high risk in its jurisdiction based on its risk assessment to this list and receive credit for mapping, monitoring, and legislation/regulations in place for that hazard.</w:t>
      </w:r>
    </w:p>
    <w:p w14:paraId="5474FB0E" w14:textId="77777777" w:rsidR="00CD0B94" w:rsidRPr="00CD0B94" w:rsidRDefault="00CD0B94" w:rsidP="00E87ECA">
      <w:pPr>
        <w:pStyle w:val="Heading4"/>
        <w:spacing w:before="0" w:after="160"/>
      </w:pPr>
      <w:r w:rsidRPr="00CD0B94">
        <w:t>Criteria</w:t>
      </w:r>
    </w:p>
    <w:p w14:paraId="26D03B07" w14:textId="77777777" w:rsidR="00CD0B94" w:rsidRPr="00CD0B94" w:rsidRDefault="00CD0B94" w:rsidP="00E87ECA">
      <w:r w:rsidRPr="00CD0B94">
        <w:t>Hazard Mapping</w:t>
      </w:r>
    </w:p>
    <w:p w14:paraId="1D754773" w14:textId="77777777" w:rsidR="00CD0B94" w:rsidRPr="00CD0B94" w:rsidRDefault="00CD0B94" w:rsidP="00E87ECA">
      <w:pPr>
        <w:pStyle w:val="ListParagraph"/>
        <w:numPr>
          <w:ilvl w:val="0"/>
          <w:numId w:val="33"/>
        </w:numPr>
        <w:contextualSpacing w:val="0"/>
      </w:pPr>
      <w:r w:rsidRPr="00CD0B94">
        <w:lastRenderedPageBreak/>
        <w:t xml:space="preserve">To receive credit, hazard maps must meet both the quality and coverage criteria. PTs must also demonstrate that the selected natural hazard poses a high risk to its jurisdiction </w:t>
      </w:r>
      <w:proofErr w:type="gramStart"/>
      <w:r w:rsidRPr="00CD0B94">
        <w:t>on the basis of</w:t>
      </w:r>
      <w:proofErr w:type="gramEnd"/>
      <w:r w:rsidRPr="00CD0B94">
        <w:t xml:space="preserve"> its risk assessment</w:t>
      </w:r>
    </w:p>
    <w:p w14:paraId="3742BA54" w14:textId="77777777" w:rsidR="00CD0B94" w:rsidRPr="00CD0B94" w:rsidRDefault="00CD0B94" w:rsidP="00E87ECA">
      <w:r w:rsidRPr="00CD0B94">
        <w:t>Quality</w:t>
      </w:r>
    </w:p>
    <w:p w14:paraId="15F30129" w14:textId="77777777" w:rsidR="00CD0B94" w:rsidRPr="00CD0B94" w:rsidRDefault="00CD0B94" w:rsidP="00E87ECA">
      <w:pPr>
        <w:pStyle w:val="ListParagraph"/>
        <w:numPr>
          <w:ilvl w:val="0"/>
          <w:numId w:val="33"/>
        </w:numPr>
        <w:contextualSpacing w:val="0"/>
      </w:pPr>
      <w:r w:rsidRPr="00CD0B94">
        <w:t>Current: Have been updated within the past ten years</w:t>
      </w:r>
    </w:p>
    <w:p w14:paraId="268030CD" w14:textId="77777777" w:rsidR="00CD0B94" w:rsidRPr="00CD0B94" w:rsidRDefault="00CD0B94" w:rsidP="00E87ECA">
      <w:pPr>
        <w:pStyle w:val="ListParagraph"/>
        <w:numPr>
          <w:ilvl w:val="0"/>
          <w:numId w:val="33"/>
        </w:numPr>
        <w:contextualSpacing w:val="0"/>
      </w:pPr>
      <w:r w:rsidRPr="00CD0B94">
        <w:t>Publicly accessible: Available free of charge in a digital format through an online platform</w:t>
      </w:r>
    </w:p>
    <w:p w14:paraId="1EDCF713" w14:textId="77777777" w:rsidR="00CD0B94" w:rsidRPr="00CD0B94" w:rsidRDefault="00CD0B94" w:rsidP="00E87ECA">
      <w:pPr>
        <w:pStyle w:val="ListParagraph"/>
        <w:numPr>
          <w:ilvl w:val="0"/>
          <w:numId w:val="33"/>
        </w:numPr>
        <w:contextualSpacing w:val="0"/>
      </w:pPr>
      <w:r w:rsidRPr="00CD0B94">
        <w:t>Authoritative: Be of regulatory quality for the jurisdiction and identify areas of high risk</w:t>
      </w:r>
    </w:p>
    <w:p w14:paraId="1DFF5C23" w14:textId="77777777" w:rsidR="00CD0B94" w:rsidRPr="00CD0B94" w:rsidRDefault="00CD0B94" w:rsidP="00E87ECA">
      <w:r w:rsidRPr="00CD0B94">
        <w:t>Coverage</w:t>
      </w:r>
    </w:p>
    <w:p w14:paraId="687E6216" w14:textId="77777777" w:rsidR="00CD0B94" w:rsidRPr="00CD0B94" w:rsidRDefault="00CD0B94" w:rsidP="00E87ECA">
      <w:pPr>
        <w:pStyle w:val="ListParagraph"/>
        <w:numPr>
          <w:ilvl w:val="0"/>
          <w:numId w:val="34"/>
        </w:numPr>
        <w:contextualSpacing w:val="0"/>
      </w:pPr>
      <w:r w:rsidRPr="00CD0B94">
        <w:t>Hazard maps cover the majority at least 50% of the potential risk area or at least 80% of the at-risk population</w:t>
      </w:r>
    </w:p>
    <w:p w14:paraId="5385C8BF" w14:textId="77777777" w:rsidR="00CD0B94" w:rsidRPr="00CD0B94" w:rsidRDefault="00CD0B94" w:rsidP="00E87ECA">
      <w:r w:rsidRPr="00CD0B94">
        <w:t>Hazard Monitoring</w:t>
      </w:r>
    </w:p>
    <w:p w14:paraId="4E7330A9" w14:textId="77777777" w:rsidR="00CD0B94" w:rsidRPr="00CD0B94" w:rsidRDefault="00CD0B94" w:rsidP="00E87ECA">
      <w:r w:rsidRPr="00CD0B94">
        <w:t>Hazard monitoring means the systematic and ongoing observation of environmental conditions, natural phenomena, and human activities that contribute to hazard risk. To receive credit, the hazard-specific monitoring system must be:</w:t>
      </w:r>
    </w:p>
    <w:p w14:paraId="341EA51A" w14:textId="77777777" w:rsidR="00CD0B94" w:rsidRPr="00CD0B94" w:rsidRDefault="00CD0B94" w:rsidP="00E87ECA">
      <w:pPr>
        <w:pStyle w:val="ListParagraph"/>
        <w:numPr>
          <w:ilvl w:val="0"/>
          <w:numId w:val="34"/>
        </w:numPr>
        <w:contextualSpacing w:val="0"/>
      </w:pPr>
      <w:r w:rsidRPr="00CD0B94">
        <w:t>Systematic: Include a mechanism for systematic and ongoing observation (e.g., satellite data, weather monitoring, sensors, etc.)</w:t>
      </w:r>
    </w:p>
    <w:p w14:paraId="16B0AAE4" w14:textId="77777777" w:rsidR="00CD0B94" w:rsidRPr="00CD0B94" w:rsidRDefault="00CD0B94" w:rsidP="00E87ECA">
      <w:pPr>
        <w:pStyle w:val="ListParagraph"/>
        <w:numPr>
          <w:ilvl w:val="0"/>
          <w:numId w:val="34"/>
        </w:numPr>
        <w:contextualSpacing w:val="0"/>
      </w:pPr>
      <w:r w:rsidRPr="00CD0B94">
        <w:t>Publicly available: Include a mechanism to publicize hazard forecasts free of charge</w:t>
      </w:r>
    </w:p>
    <w:p w14:paraId="1298BB82" w14:textId="77777777" w:rsidR="00CD0B94" w:rsidRPr="00CD0B94" w:rsidRDefault="00CD0B94" w:rsidP="00E87ECA">
      <w:pPr>
        <w:pStyle w:val="ListParagraph"/>
        <w:numPr>
          <w:ilvl w:val="0"/>
          <w:numId w:val="34"/>
        </w:numPr>
        <w:contextualSpacing w:val="0"/>
      </w:pPr>
      <w:r w:rsidRPr="00CD0B94">
        <w:t>Actionable: Be connected to an early warning system that can issue warnings/alerts about imminent danger from the hazard (e.g., Alert Ready, push notifications, media warnings, sirens, etc.)</w:t>
      </w:r>
    </w:p>
    <w:p w14:paraId="085E1311" w14:textId="77777777" w:rsidR="00CD0B94" w:rsidRPr="00CD0B94" w:rsidRDefault="00CD0B94" w:rsidP="00E87ECA">
      <w:r w:rsidRPr="00CD0B94">
        <w:t>Legislation/Regulations</w:t>
      </w:r>
    </w:p>
    <w:p w14:paraId="1C0E266E" w14:textId="77777777" w:rsidR="00CD0B94" w:rsidRPr="00CD0B94" w:rsidRDefault="00CD0B94" w:rsidP="00E87ECA">
      <w:r w:rsidRPr="00CD0B94">
        <w:t>To receive credit, legislation/regulations must:</w:t>
      </w:r>
    </w:p>
    <w:p w14:paraId="65E506BA" w14:textId="77777777" w:rsidR="00CD0B94" w:rsidRPr="00CD0B94" w:rsidRDefault="00CD0B94" w:rsidP="00E87ECA">
      <w:pPr>
        <w:pStyle w:val="ListParagraph"/>
        <w:numPr>
          <w:ilvl w:val="0"/>
          <w:numId w:val="35"/>
        </w:numPr>
        <w:contextualSpacing w:val="0"/>
      </w:pPr>
      <w:r w:rsidRPr="00CD0B94">
        <w:t>Establish what high risk is for the hazard; and</w:t>
      </w:r>
    </w:p>
    <w:p w14:paraId="1E3FF353" w14:textId="77777777" w:rsidR="00CD0B94" w:rsidRPr="00CD0B94" w:rsidRDefault="00CD0B94" w:rsidP="00E87ECA">
      <w:pPr>
        <w:pStyle w:val="ListParagraph"/>
        <w:numPr>
          <w:ilvl w:val="0"/>
          <w:numId w:val="35"/>
        </w:numPr>
        <w:contextualSpacing w:val="0"/>
      </w:pPr>
      <w:r w:rsidRPr="00CD0B94">
        <w:t xml:space="preserve">Include restrictions for unmitigated development/establish appropriate mitigation criteria in </w:t>
      </w:r>
      <w:proofErr w:type="gramStart"/>
      <w:r w:rsidRPr="00CD0B94">
        <w:t>high risk</w:t>
      </w:r>
      <w:proofErr w:type="gramEnd"/>
      <w:r w:rsidRPr="00CD0B94">
        <w:t xml:space="preserve"> areas.</w:t>
      </w:r>
    </w:p>
    <w:p w14:paraId="16668442" w14:textId="77777777" w:rsidR="00CD0B94" w:rsidRPr="00CD0B94" w:rsidRDefault="00CD0B94" w:rsidP="00E87ECA">
      <w:r w:rsidRPr="00CD0B94">
        <w:t>To receive credit for monitoring and enforcing its land use legislation/regulations, the province/territory must demonstrate:</w:t>
      </w:r>
    </w:p>
    <w:p w14:paraId="75EC87ED" w14:textId="77777777" w:rsidR="00CD0B94" w:rsidRPr="00CD0B94" w:rsidRDefault="00CD0B94" w:rsidP="00E87ECA">
      <w:pPr>
        <w:pStyle w:val="ListParagraph"/>
        <w:numPr>
          <w:ilvl w:val="0"/>
          <w:numId w:val="36"/>
        </w:numPr>
        <w:contextualSpacing w:val="0"/>
      </w:pPr>
      <w:r w:rsidRPr="00CD0B94">
        <w:lastRenderedPageBreak/>
        <w:t>How it tracks compliance with its legislation/regulations; and</w:t>
      </w:r>
    </w:p>
    <w:p w14:paraId="0E2798E5" w14:textId="77777777" w:rsidR="00CD0B94" w:rsidRPr="00CD0B94" w:rsidRDefault="00CD0B94" w:rsidP="00E87ECA">
      <w:pPr>
        <w:pStyle w:val="ListParagraph"/>
        <w:numPr>
          <w:ilvl w:val="0"/>
          <w:numId w:val="36"/>
        </w:numPr>
        <w:contextualSpacing w:val="0"/>
      </w:pPr>
      <w:r w:rsidRPr="00CD0B94">
        <w:t>Its system for handling non-compliance</w:t>
      </w:r>
    </w:p>
    <w:p w14:paraId="20213E2B" w14:textId="77777777" w:rsidR="00CD0B94" w:rsidRDefault="00CD0B94" w:rsidP="00E87ECA">
      <w:r w:rsidRPr="00CD0B94">
        <w:rPr>
          <w:b/>
          <w:bCs/>
        </w:rPr>
        <w:t>Natural hazard:</w:t>
      </w:r>
      <w:r w:rsidRPr="00CD0B94">
        <w:t xml:space="preserve"> [Indicate which natural hazard]</w:t>
      </w:r>
    </w:p>
    <w:p w14:paraId="25DF297F" w14:textId="568B8E60" w:rsidR="00E4232C" w:rsidRPr="00CD0B94" w:rsidRDefault="00E4232C" w:rsidP="00E4232C">
      <w:pPr>
        <w:pStyle w:val="Heading5"/>
        <w:jc w:val="center"/>
      </w:pPr>
      <w:r>
        <w:t>Table 1.3: One additional natural hazard</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E4232C" w:rsidRPr="007555DD" w14:paraId="5B062B1C" w14:textId="77777777" w:rsidTr="004963F4">
        <w:trPr>
          <w:trHeight w:val="66"/>
        </w:trPr>
        <w:tc>
          <w:tcPr>
            <w:tcW w:w="7645" w:type="dxa"/>
            <w:shd w:val="clear" w:color="auto" w:fill="D9D9D9" w:themeFill="background1" w:themeFillShade="D9"/>
            <w:vAlign w:val="center"/>
          </w:tcPr>
          <w:p w14:paraId="2FDB3C3B" w14:textId="77777777" w:rsidR="00E4232C" w:rsidRPr="007555DD" w:rsidRDefault="00E4232C" w:rsidP="004963F4">
            <w:pPr>
              <w:spacing w:after="160" w:line="278" w:lineRule="auto"/>
              <w:rPr>
                <w:b/>
                <w:bCs/>
              </w:rPr>
            </w:pPr>
            <w:r w:rsidRPr="007555DD">
              <w:rPr>
                <w:b/>
                <w:bCs/>
              </w:rPr>
              <w:t>Activity</w:t>
            </w:r>
          </w:p>
        </w:tc>
        <w:tc>
          <w:tcPr>
            <w:tcW w:w="1705" w:type="dxa"/>
            <w:shd w:val="clear" w:color="auto" w:fill="D9D9D9" w:themeFill="background1" w:themeFillShade="D9"/>
            <w:vAlign w:val="center"/>
          </w:tcPr>
          <w:p w14:paraId="08A27243" w14:textId="77777777" w:rsidR="00E4232C" w:rsidRPr="007555DD" w:rsidRDefault="00E4232C" w:rsidP="004963F4">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E4232C" w:rsidRPr="00CD0B94" w14:paraId="5997B391" w14:textId="77777777" w:rsidTr="00E4232C">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7A8712A" w14:textId="07AAAC1F" w:rsidR="00E4232C" w:rsidRPr="00CD0B94" w:rsidRDefault="00E4232C" w:rsidP="00CD0B94">
            <w:r w:rsidRPr="00CD0B94">
              <w:t>The province/territory has maps/models for the risk, has a hazard-specific monitoring system, has legislation/regulations that restrict unmitigated development/establish appropriate mitigation criteria in areas of high risk, and has a system for monitoring compliance/enforcing regulations.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40A48CD" w14:textId="7DDB459E" w:rsidR="00E4232C" w:rsidRDefault="00E4232C" w:rsidP="00CD0B94">
            <w:r>
              <w:t>10</w:t>
            </w:r>
          </w:p>
        </w:tc>
      </w:tr>
      <w:tr w:rsidR="00E4232C" w:rsidRPr="00CD0B94" w14:paraId="1A33F36A" w14:textId="77777777" w:rsidTr="00E4232C">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2375AF" w14:textId="77777777" w:rsidR="00CD0B94" w:rsidRPr="00CD0B94" w:rsidRDefault="00CD0B94" w:rsidP="00CD0B94">
            <w:r w:rsidRPr="00CD0B94">
              <w:t>The province/territory has maps for the risk, has a hazard-specific monitoring system, and has legislation/regulations that restrict unmitigated development/establish appropriate mitigation criteria in areas with high risk.</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667218" w14:textId="77777777" w:rsidR="00CD0B94" w:rsidRPr="00CD0B94" w:rsidRDefault="00CD0B94" w:rsidP="00CD0B94">
            <w:r w:rsidRPr="00CD0B94">
              <w:t>8</w:t>
            </w:r>
          </w:p>
        </w:tc>
      </w:tr>
      <w:tr w:rsidR="00E4232C" w:rsidRPr="00CD0B94" w14:paraId="4948D03D" w14:textId="77777777" w:rsidTr="00E4232C">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0DE42D" w14:textId="77777777" w:rsidR="00CD0B94" w:rsidRPr="00CD0B94" w:rsidRDefault="00CD0B94" w:rsidP="00CD0B94">
            <w:r w:rsidRPr="00CD0B94">
              <w:t>The province/territory has maps for the hazard and has a hazard-specific monitoring system.</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F774CD" w14:textId="77777777" w:rsidR="00CD0B94" w:rsidRPr="00CD0B94" w:rsidRDefault="00CD0B94" w:rsidP="00CD0B94">
            <w:r w:rsidRPr="00CD0B94">
              <w:t>3</w:t>
            </w:r>
          </w:p>
        </w:tc>
      </w:tr>
      <w:tr w:rsidR="00E4232C" w:rsidRPr="00CD0B94" w14:paraId="7A621B35" w14:textId="77777777" w:rsidTr="00E4232C">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698011" w14:textId="77777777" w:rsidR="00CD0B94" w:rsidRPr="00CD0B94" w:rsidRDefault="00CD0B94" w:rsidP="00CD0B94">
            <w:r w:rsidRPr="00CD0B94">
              <w:t>The province/territory has a hazard-specific monitoring system.</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62BFBA" w14:textId="77777777" w:rsidR="00CD0B94" w:rsidRPr="00CD0B94" w:rsidRDefault="00CD0B94" w:rsidP="00CD0B94">
            <w:r w:rsidRPr="00CD0B94">
              <w:t>1</w:t>
            </w:r>
          </w:p>
        </w:tc>
      </w:tr>
      <w:tr w:rsidR="00E4232C" w:rsidRPr="00CD0B94" w14:paraId="02158E27" w14:textId="77777777" w:rsidTr="00E4232C">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BABBE3" w14:textId="77777777" w:rsidR="00CD0B94" w:rsidRPr="00CD0B94" w:rsidRDefault="00CD0B94" w:rsidP="00CD0B94">
            <w:r w:rsidRPr="00CD0B94">
              <w:t>The province/territory has maps for the hazard.</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C6C237" w14:textId="77777777" w:rsidR="00CD0B94" w:rsidRPr="00CD0B94" w:rsidRDefault="00CD0B94" w:rsidP="00CD0B94">
            <w:r w:rsidRPr="00CD0B94">
              <w:t>1</w:t>
            </w:r>
          </w:p>
        </w:tc>
      </w:tr>
      <w:tr w:rsidR="00E4232C" w:rsidRPr="00CD0B94" w14:paraId="20FFE1C5" w14:textId="77777777" w:rsidTr="00E4232C">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FB1D4D" w14:textId="77777777" w:rsidR="00CD0B94" w:rsidRPr="00CD0B94" w:rsidRDefault="00CD0B94" w:rsidP="00CD0B94">
            <w:r w:rsidRPr="00CD0B94">
              <w:t>The province/territory does not map, monitor, or regulate the hazard.</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9FD01E" w14:textId="77777777" w:rsidR="00CD0B94" w:rsidRPr="00CD0B94" w:rsidRDefault="00CD0B94" w:rsidP="00CD0B94">
            <w:r w:rsidRPr="00CD0B94">
              <w:t>0</w:t>
            </w:r>
          </w:p>
        </w:tc>
      </w:tr>
      <w:tr w:rsidR="00CD0B94" w:rsidRPr="00CD0B94" w14:paraId="74045A6F" w14:textId="77777777" w:rsidTr="00E4232C">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85185D" w14:textId="77777777" w:rsidR="00CD0B94" w:rsidRPr="00CD0B94" w:rsidRDefault="00CD0B94" w:rsidP="00CD0B94">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5E3D8B69" w14:textId="77777777" w:rsidR="006057AE" w:rsidRDefault="006057AE" w:rsidP="00CD0B94"/>
    <w:p w14:paraId="660E4C6F" w14:textId="78E0AC43" w:rsidR="00CD0B94" w:rsidRPr="00CD0B94" w:rsidRDefault="00CD0B94" w:rsidP="00E87ECA">
      <w:pPr>
        <w:pStyle w:val="Heading3"/>
        <w:spacing w:before="0" w:after="160"/>
      </w:pPr>
      <w:r w:rsidRPr="00CD0B94">
        <w:lastRenderedPageBreak/>
        <w:t>Public alerting</w:t>
      </w:r>
    </w:p>
    <w:p w14:paraId="4D971EC2" w14:textId="77777777" w:rsidR="00CD0B94" w:rsidRPr="00CD0B94" w:rsidRDefault="00CD0B94" w:rsidP="00E87ECA">
      <w:pPr>
        <w:pStyle w:val="Heading4"/>
        <w:spacing w:before="0" w:after="160"/>
      </w:pPr>
      <w:r w:rsidRPr="00CD0B94">
        <w:t>Activity</w:t>
      </w:r>
    </w:p>
    <w:p w14:paraId="3983C98D" w14:textId="77777777" w:rsidR="00CD0B94" w:rsidRPr="00CD0B94" w:rsidRDefault="00CD0B94" w:rsidP="00E87ECA">
      <w:r w:rsidRPr="00CD0B94">
        <w:t>The province/territory provides training for, has processes in place for, regularly tests, and uses a public alerting system to provide timely hazard warnings in its jurisdiction.</w:t>
      </w:r>
    </w:p>
    <w:p w14:paraId="0FD7EE3B" w14:textId="77777777" w:rsidR="00CD0B94" w:rsidRPr="00CD0B94" w:rsidRDefault="00CD0B94" w:rsidP="00E87ECA">
      <w:pPr>
        <w:pStyle w:val="Heading4"/>
        <w:spacing w:before="0" w:after="160"/>
      </w:pPr>
      <w:r w:rsidRPr="00CD0B94">
        <w:t>Criteria</w:t>
      </w:r>
    </w:p>
    <w:p w14:paraId="69DB1643" w14:textId="77777777" w:rsidR="00CD0B94" w:rsidRPr="00CD0B94" w:rsidRDefault="00CD0B94" w:rsidP="00E87ECA">
      <w:r w:rsidRPr="00CD0B94">
        <w:t>A public alerting system means a comprehensive network of communication tools designed to rapidly alert and inform the public about imminent threats or emergencies. The National Public Alerting System (Alert Ready) is an example of a public alerting system and can be used to meet this requirement if the province/territory has processes in place to use it.</w:t>
      </w:r>
    </w:p>
    <w:p w14:paraId="14F1F776" w14:textId="77777777" w:rsidR="00CD0B94" w:rsidRPr="00CD0B94" w:rsidRDefault="00CD0B94" w:rsidP="00E87ECA">
      <w:r w:rsidRPr="00CD0B94">
        <w:t>To receive credit for processes in place to use the public alerting system, the province/territory must demonstrate that:</w:t>
      </w:r>
    </w:p>
    <w:p w14:paraId="21AF2BA8" w14:textId="77777777" w:rsidR="00CD0B94" w:rsidRPr="00CD0B94" w:rsidRDefault="00CD0B94" w:rsidP="00E87ECA">
      <w:pPr>
        <w:pStyle w:val="ListParagraph"/>
        <w:numPr>
          <w:ilvl w:val="0"/>
          <w:numId w:val="37"/>
        </w:numPr>
        <w:contextualSpacing w:val="0"/>
      </w:pPr>
      <w:r w:rsidRPr="00CD0B94">
        <w:t>Its processes are current, meaning the written process documentation has been reviewed/updated in the past two years and is actively in use (e.g., not superseded)</w:t>
      </w:r>
    </w:p>
    <w:p w14:paraId="701048AE" w14:textId="75DC78E3" w:rsidR="006057AE" w:rsidRDefault="00CD0B94" w:rsidP="00E87ECA">
      <w:pPr>
        <w:pStyle w:val="ListParagraph"/>
        <w:numPr>
          <w:ilvl w:val="0"/>
          <w:numId w:val="37"/>
        </w:numPr>
        <w:contextualSpacing w:val="0"/>
      </w:pPr>
      <w:r w:rsidRPr="00CD0B94">
        <w:t>It has and follows a testing schedule with at least two system tests per year</w:t>
      </w:r>
    </w:p>
    <w:p w14:paraId="7A9BF6AB" w14:textId="26F0A81B" w:rsidR="006057AE" w:rsidRPr="006057AE" w:rsidRDefault="006057AE" w:rsidP="006057AE">
      <w:pPr>
        <w:pStyle w:val="Heading5"/>
        <w:jc w:val="center"/>
      </w:pPr>
      <w:r w:rsidRPr="00CD0B94">
        <w:t>Table 1.4: Public alerting</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DC41AB" w:rsidRPr="007555DD" w14:paraId="29CDC349" w14:textId="77777777" w:rsidTr="004963F4">
        <w:trPr>
          <w:trHeight w:val="66"/>
        </w:trPr>
        <w:tc>
          <w:tcPr>
            <w:tcW w:w="7645" w:type="dxa"/>
            <w:shd w:val="clear" w:color="auto" w:fill="D9D9D9" w:themeFill="background1" w:themeFillShade="D9"/>
            <w:vAlign w:val="center"/>
          </w:tcPr>
          <w:p w14:paraId="3FD631F5" w14:textId="77777777" w:rsidR="00DC41AB" w:rsidRPr="007555DD" w:rsidRDefault="00DC41AB" w:rsidP="004963F4">
            <w:pPr>
              <w:spacing w:after="160" w:line="278" w:lineRule="auto"/>
              <w:rPr>
                <w:b/>
                <w:bCs/>
              </w:rPr>
            </w:pPr>
            <w:r w:rsidRPr="007555DD">
              <w:rPr>
                <w:b/>
                <w:bCs/>
              </w:rPr>
              <w:t>Activity</w:t>
            </w:r>
          </w:p>
        </w:tc>
        <w:tc>
          <w:tcPr>
            <w:tcW w:w="1705" w:type="dxa"/>
            <w:shd w:val="clear" w:color="auto" w:fill="D9D9D9" w:themeFill="background1" w:themeFillShade="D9"/>
            <w:vAlign w:val="center"/>
          </w:tcPr>
          <w:p w14:paraId="17476A82" w14:textId="77777777" w:rsidR="00DC41AB" w:rsidRPr="007555DD" w:rsidRDefault="00DC41AB" w:rsidP="004963F4">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CD0B94" w:rsidRPr="00CD0B94" w14:paraId="6E7E243E"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5A1236" w14:textId="77777777" w:rsidR="00CD0B94" w:rsidRPr="00CD0B94" w:rsidRDefault="00CD0B94" w:rsidP="006057AE">
            <w:r w:rsidRPr="00CD0B94">
              <w:t>The province/territory has a public alerting system, has processes in place to use it (including training and testing), and provides access for local authorities and regional governments to use the system.</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79A364" w14:textId="77777777" w:rsidR="00CD0B94" w:rsidRPr="00CD0B94" w:rsidRDefault="00CD0B94" w:rsidP="006057AE">
            <w:r w:rsidRPr="00CD0B94">
              <w:t>3</w:t>
            </w:r>
          </w:p>
        </w:tc>
      </w:tr>
      <w:tr w:rsidR="00CD0B94" w:rsidRPr="00CD0B94" w14:paraId="3D77DDBB"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415488" w14:textId="77777777" w:rsidR="00CD0B94" w:rsidRPr="00CD0B94" w:rsidRDefault="00CD0B94" w:rsidP="006057AE">
            <w:r w:rsidRPr="00CD0B94">
              <w:t>The province/territory has a public alerting system and has processes in place to use it (including training and testing).</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54E8E7" w14:textId="77777777" w:rsidR="00CD0B94" w:rsidRPr="00CD0B94" w:rsidRDefault="00CD0B94" w:rsidP="006057AE">
            <w:r w:rsidRPr="00CD0B94">
              <w:t>1</w:t>
            </w:r>
          </w:p>
        </w:tc>
      </w:tr>
      <w:tr w:rsidR="00CD0B94" w:rsidRPr="00CD0B94" w14:paraId="51BD4563"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82137E" w14:textId="77777777" w:rsidR="00CD0B94" w:rsidRPr="00CD0B94" w:rsidRDefault="00CD0B94" w:rsidP="006057AE">
            <w:r w:rsidRPr="00CD0B94">
              <w:t>The province/territory does not have a public alerting system.</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B32AA55" w14:textId="77777777" w:rsidR="00CD0B94" w:rsidRPr="00CD0B94" w:rsidRDefault="00CD0B94" w:rsidP="006057AE">
            <w:r w:rsidRPr="00CD0B94">
              <w:t>0</w:t>
            </w:r>
          </w:p>
        </w:tc>
      </w:tr>
      <w:tr w:rsidR="00CD0B94" w:rsidRPr="00CD0B94" w14:paraId="7450558C" w14:textId="77777777" w:rsidTr="006057A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1BBDE1" w14:textId="77777777" w:rsidR="00CD0B94" w:rsidRPr="00CD0B94" w:rsidRDefault="00CD0B94" w:rsidP="006057AE">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35BD94F7" w14:textId="77777777" w:rsidR="006057AE" w:rsidRDefault="006057AE" w:rsidP="00CD0B94"/>
    <w:p w14:paraId="48EEE2E1" w14:textId="302FD2FA" w:rsidR="00CD0B94" w:rsidRPr="00CD0B94" w:rsidRDefault="00CD0B94" w:rsidP="00E87ECA">
      <w:pPr>
        <w:pStyle w:val="Heading3"/>
        <w:spacing w:before="0" w:after="160"/>
      </w:pPr>
      <w:r w:rsidRPr="00CD0B94">
        <w:lastRenderedPageBreak/>
        <w:t>Risk Communication and Disclosure</w:t>
      </w:r>
    </w:p>
    <w:p w14:paraId="0F82B7DE" w14:textId="77777777" w:rsidR="00CD0B94" w:rsidRPr="00CD0B94" w:rsidRDefault="00CD0B94" w:rsidP="00E87ECA">
      <w:pPr>
        <w:pStyle w:val="Heading4"/>
        <w:spacing w:before="0" w:after="160"/>
      </w:pPr>
      <w:r w:rsidRPr="00CD0B94">
        <w:t>Activity</w:t>
      </w:r>
    </w:p>
    <w:p w14:paraId="24D4893B" w14:textId="77777777" w:rsidR="00CD0B94" w:rsidRPr="00CD0B94" w:rsidRDefault="00CD0B94" w:rsidP="00E87ECA">
      <w:r w:rsidRPr="00CD0B94">
        <w:t>The province/territory provides public information about its highest natural hazard risks and requires the disclosure of natural hazard risks on real estate and development listings and transactions.</w:t>
      </w:r>
    </w:p>
    <w:p w14:paraId="08A15E26" w14:textId="77777777" w:rsidR="00CD0B94" w:rsidRPr="00CD0B94" w:rsidRDefault="00CD0B94" w:rsidP="00E87ECA">
      <w:pPr>
        <w:pStyle w:val="Heading4"/>
        <w:spacing w:before="0" w:after="160"/>
      </w:pPr>
      <w:r w:rsidRPr="00CD0B94">
        <w:t>Criteria</w:t>
      </w:r>
    </w:p>
    <w:p w14:paraId="31A596BF" w14:textId="77777777" w:rsidR="00CD0B94" w:rsidRPr="00CD0B94" w:rsidRDefault="00CD0B94" w:rsidP="00E87ECA">
      <w:r w:rsidRPr="00CD0B94">
        <w:t>A disaster risk communication strategy is:</w:t>
      </w:r>
    </w:p>
    <w:p w14:paraId="3894E70B" w14:textId="77777777" w:rsidR="00CD0B94" w:rsidRPr="00CD0B94" w:rsidRDefault="00CD0B94" w:rsidP="00E87ECA">
      <w:pPr>
        <w:pStyle w:val="ListParagraph"/>
        <w:numPr>
          <w:ilvl w:val="0"/>
          <w:numId w:val="38"/>
        </w:numPr>
      </w:pPr>
      <w:r w:rsidRPr="00CD0B94">
        <w:t>A written document that identifies key messages for different audiences for the highest natural hazard risks (at least two) in the province/territory</w:t>
      </w:r>
    </w:p>
    <w:p w14:paraId="437059AD" w14:textId="77777777" w:rsidR="00CD0B94" w:rsidRPr="00CD0B94" w:rsidRDefault="00CD0B94" w:rsidP="00E87ECA">
      <w:pPr>
        <w:pStyle w:val="ListParagraph"/>
        <w:numPr>
          <w:ilvl w:val="0"/>
          <w:numId w:val="38"/>
        </w:numPr>
      </w:pPr>
      <w:r w:rsidRPr="00CD0B94">
        <w:t>The document includes multiple (at least three) mechanisms for reaching audiences with key messages</w:t>
      </w:r>
    </w:p>
    <w:p w14:paraId="482D2308" w14:textId="77777777" w:rsidR="00CD0B94" w:rsidRPr="00CD0B94" w:rsidRDefault="00CD0B94" w:rsidP="00E87ECA">
      <w:pPr>
        <w:pStyle w:val="ListParagraph"/>
        <w:numPr>
          <w:ilvl w:val="0"/>
          <w:numId w:val="38"/>
        </w:numPr>
      </w:pPr>
      <w:r w:rsidRPr="00CD0B94">
        <w:t>At a minimum, risk communication materials include guidance for homeowner, renters, and businesses, with specific actions on how to reduce their disaster risk to the relevant natural hazards</w:t>
      </w:r>
    </w:p>
    <w:p w14:paraId="06A5B3F0" w14:textId="77777777" w:rsidR="00CD0B94" w:rsidRPr="00CD0B94" w:rsidRDefault="00CD0B94" w:rsidP="00E87ECA">
      <w:r w:rsidRPr="00CD0B94">
        <w:t>Implementing a disaster risk communication strategy means the risk communication materials have been shared/published via the mechanisms identified in the strategy within the past year.</w:t>
      </w:r>
    </w:p>
    <w:p w14:paraId="1DF4C359" w14:textId="77777777" w:rsidR="00CD0B94" w:rsidRDefault="00CD0B94" w:rsidP="00E87ECA">
      <w:r w:rsidRPr="00CD0B94">
        <w:t>The disclosure of natural hazard risk refers to a seller/landlord making a potential buyer/tenant aware of natural hazards that pose a high risk to the property. This includes disclosing both previous damage from a natural hazard and any relevant high-risk designations for the property (e.g., a high-risk flood area, a wildland-urban interface fire area, a tsunami zone, etc.).</w:t>
      </w:r>
    </w:p>
    <w:p w14:paraId="3999364C" w14:textId="5E739418" w:rsidR="006057AE" w:rsidRPr="00CD0B94" w:rsidRDefault="006057AE" w:rsidP="00E87ECA">
      <w:pPr>
        <w:pStyle w:val="Heading5"/>
        <w:spacing w:before="0" w:after="160"/>
        <w:jc w:val="center"/>
      </w:pPr>
      <w:r w:rsidRPr="00CD0B94">
        <w:t>Table 1.5: Risk Communication and Disclosure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DC41AB" w:rsidRPr="007555DD" w14:paraId="5D9BDF66" w14:textId="77777777" w:rsidTr="004963F4">
        <w:trPr>
          <w:trHeight w:val="66"/>
        </w:trPr>
        <w:tc>
          <w:tcPr>
            <w:tcW w:w="7645" w:type="dxa"/>
            <w:shd w:val="clear" w:color="auto" w:fill="D9D9D9" w:themeFill="background1" w:themeFillShade="D9"/>
            <w:vAlign w:val="center"/>
          </w:tcPr>
          <w:p w14:paraId="13C82749" w14:textId="77777777" w:rsidR="00DC41AB" w:rsidRPr="007555DD" w:rsidRDefault="00DC41AB"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0097E0E8" w14:textId="77777777" w:rsidR="00DC41AB" w:rsidRPr="007555DD" w:rsidRDefault="00DC41AB"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CD0B94" w:rsidRPr="00CD0B94" w14:paraId="0A96A880"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85A64D" w14:textId="77777777" w:rsidR="00CD0B94" w:rsidRPr="00CD0B94" w:rsidRDefault="00CD0B94" w:rsidP="00E87ECA">
            <w:r w:rsidRPr="00CD0B94">
              <w:t>The province/territory implements its risk communication strategy and requires the disclosure of natural hazards that pose a high risk during real estate transactions (e.g., through a Property Disclosure Statement, a notice on land title, rental agreements, etc.), including both ownership transfer (i.e., sale) and rental transactions.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49A048" w14:textId="77777777" w:rsidR="00CD0B94" w:rsidRPr="00CD0B94" w:rsidRDefault="00CD0B94" w:rsidP="00E87ECA">
            <w:r w:rsidRPr="00CD0B94">
              <w:t>10</w:t>
            </w:r>
          </w:p>
        </w:tc>
      </w:tr>
      <w:tr w:rsidR="00CD0B94" w:rsidRPr="00CD0B94" w14:paraId="19044D2B"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CAEEC5" w14:textId="77777777" w:rsidR="00CD0B94" w:rsidRPr="00CD0B94" w:rsidRDefault="00CD0B94" w:rsidP="00E87ECA">
            <w:r w:rsidRPr="00CD0B94">
              <w:t xml:space="preserve">The province/territory implements its risk communication strategy and requires the disclosure of flood risk during real estate transactions (e.g., </w:t>
            </w:r>
            <w:r w:rsidRPr="00CD0B94">
              <w:lastRenderedPageBreak/>
              <w:t>through a Property Disclosure Statement, a notice on land title, rental agreements, etc.), including both ownership transfer (i.e., sale) and rental transactions.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36E538" w14:textId="77777777" w:rsidR="00CD0B94" w:rsidRPr="00CD0B94" w:rsidRDefault="00CD0B94" w:rsidP="00E87ECA">
            <w:r w:rsidRPr="00CD0B94">
              <w:lastRenderedPageBreak/>
              <w:t>8</w:t>
            </w:r>
          </w:p>
        </w:tc>
      </w:tr>
      <w:tr w:rsidR="00CD0B94" w:rsidRPr="00CD0B94" w14:paraId="4886E376"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112A76" w14:textId="77777777" w:rsidR="00CD0B94" w:rsidRPr="00CD0B94" w:rsidRDefault="00CD0B94" w:rsidP="00E87ECA">
            <w:r w:rsidRPr="00CD0B94">
              <w:t>The province/territory implements its risk communication strategy and reaches at least 80% of its target populations on an annual basis.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96C16B" w14:textId="77777777" w:rsidR="00CD0B94" w:rsidRPr="00CD0B94" w:rsidRDefault="00CD0B94" w:rsidP="00E87ECA">
            <w:r w:rsidRPr="00CD0B94">
              <w:t>3</w:t>
            </w:r>
          </w:p>
        </w:tc>
      </w:tr>
      <w:tr w:rsidR="00CD0B94" w:rsidRPr="00CD0B94" w14:paraId="28364DB7"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D10B8B" w14:textId="77777777" w:rsidR="00CD0B94" w:rsidRPr="00CD0B94" w:rsidRDefault="00CD0B94" w:rsidP="00E87ECA">
            <w:r w:rsidRPr="00CD0B94">
              <w:t>The province/territory implements its risk communication strategy and offers guidance materials in at least three languages, based on the composition of the target populations.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B4BFFE" w14:textId="77777777" w:rsidR="00CD0B94" w:rsidRPr="00CD0B94" w:rsidRDefault="00CD0B94" w:rsidP="00E87ECA">
            <w:r w:rsidRPr="00CD0B94">
              <w:t>2</w:t>
            </w:r>
          </w:p>
        </w:tc>
      </w:tr>
      <w:tr w:rsidR="00CD0B94" w:rsidRPr="00CD0B94" w14:paraId="10C4E6CB"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50222C" w14:textId="77777777" w:rsidR="00CD0B94" w:rsidRPr="00CD0B94" w:rsidRDefault="00CD0B94" w:rsidP="00E87ECA">
            <w:r w:rsidRPr="00CD0B94">
              <w:t>The province/territory has a risk communication strategy for its highest natural hazard risks.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3BD0C6" w14:textId="77777777" w:rsidR="00CD0B94" w:rsidRPr="00CD0B94" w:rsidRDefault="00CD0B94" w:rsidP="00E87ECA">
            <w:r w:rsidRPr="00CD0B94">
              <w:t>1</w:t>
            </w:r>
          </w:p>
        </w:tc>
      </w:tr>
      <w:tr w:rsidR="00CD0B94" w:rsidRPr="00CD0B94" w14:paraId="3C7F2177"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D6A953" w14:textId="77777777" w:rsidR="00CD0B94" w:rsidRPr="00CD0B94" w:rsidRDefault="00CD0B94" w:rsidP="00E87ECA">
            <w:r w:rsidRPr="00CD0B94">
              <w:t>There are no requirements to disclose natural hazard risks on real estate, rental, and/or development transactions and the province/territory does not have a risk communication strategy for its highest natural hazard risks.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2ABC1C" w14:textId="77777777" w:rsidR="00CD0B94" w:rsidRPr="00CD0B94" w:rsidRDefault="00CD0B94" w:rsidP="00E87ECA">
            <w:r w:rsidRPr="00CD0B94">
              <w:t>0</w:t>
            </w:r>
          </w:p>
        </w:tc>
      </w:tr>
      <w:tr w:rsidR="00CD0B94" w:rsidRPr="00CD0B94" w14:paraId="6FA0E606"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339AE9" w14:textId="77777777" w:rsidR="00CD0B94" w:rsidRPr="008C71D0" w:rsidRDefault="00CD0B94" w:rsidP="00E87ECA">
            <w:pPr>
              <w:rPr>
                <w:b/>
                <w:bCs/>
              </w:rPr>
            </w:pPr>
            <w:r w:rsidRPr="008C71D0">
              <w:rPr>
                <w:b/>
                <w:bCs/>
              </w:rPr>
              <w:t>Bonus Credit for Flood Hazard Disclosure on Real Estate Listings.</w:t>
            </w:r>
          </w:p>
          <w:p w14:paraId="7ACAD4D4" w14:textId="77777777" w:rsidR="00CD0B94" w:rsidRPr="00CD0B94" w:rsidRDefault="00CD0B94" w:rsidP="00E87ECA">
            <w:r w:rsidRPr="00CD0B94">
              <w:t>The province/territory requires real estate listings (rental and sale) to disclose flood risk and has a mechanism for enforcement.</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53B057" w14:textId="77777777" w:rsidR="00CD0B94" w:rsidRPr="00CD0B94" w:rsidRDefault="00CD0B94" w:rsidP="00E87ECA">
            <w:r w:rsidRPr="00CD0B94">
              <w:t>10</w:t>
            </w:r>
          </w:p>
        </w:tc>
      </w:tr>
      <w:tr w:rsidR="00CD0B94" w:rsidRPr="00CD0B94" w14:paraId="17514410"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A56E04" w14:textId="77777777" w:rsidR="00CD0B94" w:rsidRPr="008C71D0" w:rsidRDefault="00CD0B94" w:rsidP="00E87ECA">
            <w:pPr>
              <w:rPr>
                <w:b/>
                <w:bCs/>
              </w:rPr>
            </w:pPr>
            <w:r w:rsidRPr="008C71D0">
              <w:rPr>
                <w:b/>
                <w:bCs/>
              </w:rPr>
              <w:t>Bonus Credit for Wildfire Hazard Disclosure on Real Estate Listings.</w:t>
            </w:r>
          </w:p>
          <w:p w14:paraId="077A506B" w14:textId="77777777" w:rsidR="00CD0B94" w:rsidRPr="00CD0B94" w:rsidRDefault="00CD0B94" w:rsidP="00E87ECA">
            <w:r w:rsidRPr="00CD0B94">
              <w:t>The province/territory requires real estate listings (rental and sale) to disclose wildfire risk and has a mechanism for enforcement.</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6BDEDA" w14:textId="77777777" w:rsidR="00CD0B94" w:rsidRPr="00CD0B94" w:rsidRDefault="00CD0B94" w:rsidP="00E87ECA">
            <w:r w:rsidRPr="00CD0B94">
              <w:t>5</w:t>
            </w:r>
          </w:p>
        </w:tc>
      </w:tr>
      <w:tr w:rsidR="00CD0B94" w:rsidRPr="00CD0B94" w14:paraId="38AE5D7E" w14:textId="77777777" w:rsidTr="00130EA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3ACDED3" w14:textId="77777777" w:rsidR="00CD0B94" w:rsidRPr="008C71D0" w:rsidRDefault="00CD0B94" w:rsidP="00E87ECA">
            <w:pPr>
              <w:rPr>
                <w:b/>
                <w:bCs/>
              </w:rPr>
            </w:pPr>
            <w:r w:rsidRPr="008C71D0">
              <w:rPr>
                <w:b/>
                <w:bCs/>
              </w:rPr>
              <w:t>Bonus Credit for High-Risk Hazard Disclosure on Real Estate Listings.</w:t>
            </w:r>
          </w:p>
          <w:p w14:paraId="39ED034B" w14:textId="77777777" w:rsidR="00CD0B94" w:rsidRPr="00CD0B94" w:rsidRDefault="00CD0B94" w:rsidP="00E87ECA">
            <w:r w:rsidRPr="00CD0B94">
              <w:t>The province/territory requires real estate listings (rental and sale) to disclose high risks from natural hazards that are not flood or wildfire and has a mechanism for enforcement.</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A42864" w14:textId="77777777" w:rsidR="00CD0B94" w:rsidRPr="00CD0B94" w:rsidRDefault="00CD0B94" w:rsidP="00E87ECA">
            <w:r w:rsidRPr="00CD0B94">
              <w:t>3</w:t>
            </w:r>
          </w:p>
        </w:tc>
      </w:tr>
      <w:tr w:rsidR="00CD0B94" w:rsidRPr="00CD0B94" w14:paraId="4ADD829F" w14:textId="77777777" w:rsidTr="006057A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458A76" w14:textId="77777777" w:rsidR="00CD0B94" w:rsidRPr="00CD0B94" w:rsidRDefault="00CD0B94" w:rsidP="00E87ECA">
            <w:r w:rsidRPr="00CD0B94">
              <w:rPr>
                <w:b/>
                <w:bCs/>
              </w:rPr>
              <w:lastRenderedPageBreak/>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47559E94" w14:textId="77777777" w:rsidR="00A1438C" w:rsidRDefault="00A1438C" w:rsidP="00E87ECA"/>
    <w:p w14:paraId="2EE8D89E" w14:textId="036B52D6" w:rsidR="00CD0B94" w:rsidRPr="00CD0B94" w:rsidRDefault="00CD0B94" w:rsidP="00E87ECA">
      <w:r w:rsidRPr="00CD0B94">
        <w:t>Calculate the total number of credits for this section.</w:t>
      </w:r>
    </w:p>
    <w:p w14:paraId="43E9236E" w14:textId="77777777" w:rsidR="00A1438C" w:rsidRDefault="00A1438C" w:rsidP="00E87ECA"/>
    <w:p w14:paraId="35CAEA7C" w14:textId="3AB16E81" w:rsidR="00CD0B94" w:rsidRPr="00CD0B94" w:rsidRDefault="00CD0B94" w:rsidP="00E87ECA">
      <w:pPr>
        <w:pStyle w:val="Heading2"/>
        <w:spacing w:before="0" w:after="160"/>
      </w:pPr>
      <w:r w:rsidRPr="00CD0B94">
        <w:t>Section 2: Mitigation Planning</w:t>
      </w:r>
    </w:p>
    <w:p w14:paraId="44925CA8" w14:textId="77777777" w:rsidR="00CD0B94" w:rsidRPr="00CD0B94" w:rsidRDefault="00CD0B94" w:rsidP="00E87ECA">
      <w:pPr>
        <w:pStyle w:val="Heading3"/>
        <w:spacing w:before="0" w:after="160"/>
      </w:pPr>
      <w:r w:rsidRPr="00CD0B94">
        <w:t>Strategic Mitigation Plan</w:t>
      </w:r>
    </w:p>
    <w:p w14:paraId="3DF9690E" w14:textId="77777777" w:rsidR="00CD0B94" w:rsidRPr="00CD0B94" w:rsidRDefault="00CD0B94" w:rsidP="00E87ECA">
      <w:pPr>
        <w:pStyle w:val="Heading4"/>
        <w:spacing w:before="0" w:after="160"/>
      </w:pPr>
      <w:r w:rsidRPr="00CD0B94">
        <w:t>Activity</w:t>
      </w:r>
    </w:p>
    <w:p w14:paraId="244017A1" w14:textId="77777777" w:rsidR="00CD0B94" w:rsidRPr="00CD0B94" w:rsidRDefault="00CD0B94" w:rsidP="00E87ECA">
      <w:r w:rsidRPr="00CD0B94">
        <w:t>The province/territory has a jurisdiction-wide disaster mitigation plan that is current, publicly accessible, and includes a prioritized list of mitigation projects based on a risk assessment.</w:t>
      </w:r>
    </w:p>
    <w:p w14:paraId="49D73149" w14:textId="77777777" w:rsidR="00CD0B94" w:rsidRPr="00CD0B94" w:rsidRDefault="00CD0B94" w:rsidP="00E87ECA">
      <w:pPr>
        <w:pStyle w:val="Heading4"/>
        <w:spacing w:before="0" w:after="160"/>
      </w:pPr>
      <w:r w:rsidRPr="00CD0B94">
        <w:t>Criteria</w:t>
      </w:r>
    </w:p>
    <w:p w14:paraId="5F8AA764" w14:textId="77777777" w:rsidR="00CD0B94" w:rsidRPr="00CD0B94" w:rsidRDefault="00CD0B94" w:rsidP="00E87ECA">
      <w:r w:rsidRPr="00CD0B94">
        <w:t>To receive credit, a disaster mitigation plan must be:</w:t>
      </w:r>
    </w:p>
    <w:p w14:paraId="65449A6B" w14:textId="77777777" w:rsidR="00CD0B94" w:rsidRPr="00CD0B94" w:rsidRDefault="00CD0B94" w:rsidP="00E87ECA">
      <w:pPr>
        <w:pStyle w:val="ListParagraph"/>
        <w:numPr>
          <w:ilvl w:val="0"/>
          <w:numId w:val="39"/>
        </w:numPr>
      </w:pPr>
      <w:r w:rsidRPr="00CD0B94">
        <w:t>Jurisdiction-wide: The scope of the plan covers the entirety of the province/territory</w:t>
      </w:r>
    </w:p>
    <w:p w14:paraId="13E4D4B7" w14:textId="77777777" w:rsidR="00CD0B94" w:rsidRPr="00CD0B94" w:rsidRDefault="00CD0B94" w:rsidP="00E87ECA">
      <w:pPr>
        <w:pStyle w:val="ListParagraph"/>
        <w:numPr>
          <w:ilvl w:val="0"/>
          <w:numId w:val="39"/>
        </w:numPr>
      </w:pPr>
      <w:r w:rsidRPr="00CD0B94">
        <w:t>Risk-based and prioritized: Mitigation projects are based on a risk assessment and prioritized based on criteria that at least includes level of risk</w:t>
      </w:r>
    </w:p>
    <w:p w14:paraId="4CC11BCA" w14:textId="77777777" w:rsidR="00CD0B94" w:rsidRPr="00CD0B94" w:rsidRDefault="00CD0B94" w:rsidP="00E87ECA">
      <w:pPr>
        <w:pStyle w:val="ListParagraph"/>
        <w:numPr>
          <w:ilvl w:val="0"/>
          <w:numId w:val="39"/>
        </w:numPr>
      </w:pPr>
      <w:r w:rsidRPr="00CD0B94">
        <w:t>Current: The plan is currently in use (e.g., not archived or superseded) and has been issued and/or updated in the past four years</w:t>
      </w:r>
    </w:p>
    <w:p w14:paraId="2753EDC6" w14:textId="77777777" w:rsidR="00CD0B94" w:rsidRDefault="00CD0B94" w:rsidP="00E87ECA">
      <w:pPr>
        <w:pStyle w:val="ListParagraph"/>
        <w:numPr>
          <w:ilvl w:val="0"/>
          <w:numId w:val="39"/>
        </w:numPr>
      </w:pPr>
      <w:r w:rsidRPr="00CD0B94">
        <w:t>Publicly accessible: Is available online in a digital format, free of charge, and can be located using a reasonable search</w:t>
      </w:r>
    </w:p>
    <w:p w14:paraId="1ACA0E50" w14:textId="5465D0D5" w:rsidR="00CE22CE" w:rsidRPr="00CD0B94" w:rsidRDefault="00CE22CE" w:rsidP="00E87ECA">
      <w:pPr>
        <w:pStyle w:val="Heading5"/>
        <w:spacing w:before="0" w:after="160"/>
        <w:jc w:val="center"/>
      </w:pPr>
      <w:r w:rsidRPr="00CD0B94">
        <w:t>Table 2.1: Strategic Mitigation Plan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DC41AB" w:rsidRPr="007555DD" w14:paraId="258E5FDF" w14:textId="77777777" w:rsidTr="004963F4">
        <w:trPr>
          <w:trHeight w:val="66"/>
        </w:trPr>
        <w:tc>
          <w:tcPr>
            <w:tcW w:w="7645" w:type="dxa"/>
            <w:shd w:val="clear" w:color="auto" w:fill="D9D9D9" w:themeFill="background1" w:themeFillShade="D9"/>
            <w:vAlign w:val="center"/>
          </w:tcPr>
          <w:p w14:paraId="6FBE2D04" w14:textId="77777777" w:rsidR="00DC41AB" w:rsidRPr="007555DD" w:rsidRDefault="00DC41AB"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6DD1D2BC" w14:textId="77777777" w:rsidR="00DC41AB" w:rsidRPr="007555DD" w:rsidRDefault="00DC41AB" w:rsidP="00E87ECA">
            <w:pPr>
              <w:spacing w:after="160" w:line="278" w:lineRule="auto"/>
              <w:rPr>
                <w:b/>
                <w:bCs/>
              </w:rPr>
            </w:pPr>
            <w:r w:rsidRPr="007555DD">
              <w:rPr>
                <w:b/>
                <w:bCs/>
              </w:rPr>
              <w:t># of Credits</w:t>
            </w:r>
          </w:p>
        </w:tc>
      </w:tr>
    </w:tbl>
    <w:tbl>
      <w:tblPr>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42"/>
        <w:gridCol w:w="1702"/>
      </w:tblGrid>
      <w:tr w:rsidR="00CD0B94" w:rsidRPr="00CD0B94" w14:paraId="2EB8FA39" w14:textId="77777777" w:rsidTr="00DC41AB">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40EEAA" w14:textId="77777777" w:rsidR="00CD0B94" w:rsidRPr="00CD0B94" w:rsidRDefault="00CD0B94" w:rsidP="00E87ECA">
            <w:r w:rsidRPr="00CD0B94">
              <w:t>The province/territory has a disaster mitigation plan that has been updated within the past four years to include progress that has been made towards the prioritized list of mitigation projects.</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10E1F2" w14:textId="77777777" w:rsidR="00CD0B94" w:rsidRPr="00CD0B94" w:rsidRDefault="00CD0B94" w:rsidP="00E87ECA">
            <w:r w:rsidRPr="00CD0B94">
              <w:t>5</w:t>
            </w:r>
          </w:p>
        </w:tc>
      </w:tr>
      <w:tr w:rsidR="00CD0B94" w:rsidRPr="00CD0B94" w14:paraId="5B3D486C" w14:textId="77777777" w:rsidTr="00DC41AB">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64398C" w14:textId="77777777" w:rsidR="00CD0B94" w:rsidRPr="00CD0B94" w:rsidRDefault="00CD0B94" w:rsidP="00E87ECA">
            <w:r w:rsidRPr="00CD0B94">
              <w:t>The province/territory has a disaster mitigation plan.</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00655B" w14:textId="77777777" w:rsidR="00CD0B94" w:rsidRPr="00CD0B94" w:rsidRDefault="00CD0B94" w:rsidP="00E87ECA">
            <w:r w:rsidRPr="00CD0B94">
              <w:t>3</w:t>
            </w:r>
          </w:p>
        </w:tc>
      </w:tr>
      <w:tr w:rsidR="00CD0B94" w:rsidRPr="00CD0B94" w14:paraId="1653B8E0" w14:textId="77777777" w:rsidTr="00DC41AB">
        <w:tc>
          <w:tcPr>
            <w:tcW w:w="4089"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103472" w14:textId="77777777" w:rsidR="00CD0B94" w:rsidRPr="00CD0B94" w:rsidRDefault="00CD0B94" w:rsidP="00E87ECA">
            <w:r w:rsidRPr="00CD0B94">
              <w:lastRenderedPageBreak/>
              <w:t>The province/territory does not have a disaster mitigation plan.</w:t>
            </w:r>
          </w:p>
        </w:tc>
        <w:tc>
          <w:tcPr>
            <w:tcW w:w="91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B8D1C1" w14:textId="77777777" w:rsidR="00CD0B94" w:rsidRPr="00CD0B94" w:rsidRDefault="00CD0B94" w:rsidP="00E87ECA">
            <w:r w:rsidRPr="00CD0B94">
              <w:t>0</w:t>
            </w:r>
          </w:p>
        </w:tc>
      </w:tr>
      <w:tr w:rsidR="00CD0B94" w:rsidRPr="00CD0B94" w14:paraId="7870DFD0" w14:textId="77777777" w:rsidTr="00CE22C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E82219"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770C8433" w14:textId="77777777" w:rsidR="00CE22CE" w:rsidRDefault="00CE22CE" w:rsidP="00E87ECA"/>
    <w:p w14:paraId="1D471A63" w14:textId="17BE3539" w:rsidR="00CD0B94" w:rsidRPr="00CD0B94" w:rsidRDefault="00CD0B94" w:rsidP="00E87ECA">
      <w:pPr>
        <w:pStyle w:val="Heading3"/>
        <w:spacing w:before="0" w:after="160"/>
      </w:pPr>
      <w:r w:rsidRPr="00CD0B94">
        <w:t>Sharing Mitigation Lessons</w:t>
      </w:r>
    </w:p>
    <w:p w14:paraId="4BCC0A20" w14:textId="77777777" w:rsidR="00CD0B94" w:rsidRPr="00CD0B94" w:rsidRDefault="00CD0B94" w:rsidP="00E87ECA">
      <w:pPr>
        <w:pStyle w:val="Heading4"/>
        <w:spacing w:before="0" w:after="160"/>
      </w:pPr>
      <w:r w:rsidRPr="00CD0B94">
        <w:t>Activity</w:t>
      </w:r>
    </w:p>
    <w:p w14:paraId="6DAD565F" w14:textId="77777777" w:rsidR="00CD0B94" w:rsidRPr="00CD0B94" w:rsidRDefault="00CD0B94" w:rsidP="00E87ECA">
      <w:r w:rsidRPr="00CD0B94">
        <w:t>The province/territory actively shares lessons, guidance materials and templates, and case studies of successful mitigation projects with external partners in the wider community of practice (e.g., local authorities, other provinces/territories, the federal government, the public, etc.).</w:t>
      </w:r>
    </w:p>
    <w:p w14:paraId="2DD7782B" w14:textId="77777777" w:rsidR="00CD0B94" w:rsidRPr="00CD0B94" w:rsidRDefault="00CD0B94" w:rsidP="00E87ECA">
      <w:pPr>
        <w:pStyle w:val="Heading4"/>
        <w:spacing w:before="0" w:after="160"/>
      </w:pPr>
      <w:r w:rsidRPr="00CD0B94">
        <w:t>Criteria</w:t>
      </w:r>
    </w:p>
    <w:p w14:paraId="3E29D4A0" w14:textId="77777777" w:rsidR="00CD0B94" w:rsidRPr="00CD0B94" w:rsidRDefault="00CD0B94" w:rsidP="00E87ECA">
      <w:r w:rsidRPr="00CD0B94">
        <w:t>Sharing means providing/publishing written materials (e.g., lessons learned, case studies, guidance documents, templates, etc.) to the public or wider community of practice beyond the government. To receive credit for sharing materials, at least two written materials for mitigation have been shared/published in the past year (that were created by the province/territory, not redistributing content created by others).</w:t>
      </w:r>
    </w:p>
    <w:p w14:paraId="65CED125" w14:textId="77777777" w:rsidR="00CD0B94" w:rsidRDefault="00CD0B94" w:rsidP="00E87ECA">
      <w:r w:rsidRPr="00CD0B94">
        <w:t>Actively participating means contributing to the forum with external partners by sharing the experiences and written materials created by the province/territory with the other members of the forum. A forum can include a working group, a multi-jurisdictional initiative, a community of practice, etc. that is primarily dedicated to advancing disaster mitigation. Disaster mitigation must be one of the key themes/purposes of the forum.</w:t>
      </w:r>
    </w:p>
    <w:p w14:paraId="120331BB" w14:textId="688988F5" w:rsidR="00CE22CE" w:rsidRPr="00CD0B94" w:rsidRDefault="00CE22CE" w:rsidP="00E87ECA">
      <w:pPr>
        <w:pStyle w:val="Heading5"/>
        <w:spacing w:before="0" w:after="160"/>
        <w:jc w:val="center"/>
      </w:pPr>
      <w:r w:rsidRPr="00CD0B94">
        <w:t>Table 2.2: Sharing Mitigation Lessons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DC41AB" w:rsidRPr="007555DD" w14:paraId="79D8082A" w14:textId="77777777" w:rsidTr="004963F4">
        <w:trPr>
          <w:trHeight w:val="66"/>
        </w:trPr>
        <w:tc>
          <w:tcPr>
            <w:tcW w:w="7645" w:type="dxa"/>
            <w:shd w:val="clear" w:color="auto" w:fill="D9D9D9" w:themeFill="background1" w:themeFillShade="D9"/>
            <w:vAlign w:val="center"/>
          </w:tcPr>
          <w:p w14:paraId="20C18B52" w14:textId="77777777" w:rsidR="00DC41AB" w:rsidRPr="007555DD" w:rsidRDefault="00DC41AB"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3C0A7FDD" w14:textId="77777777" w:rsidR="00DC41AB" w:rsidRPr="007555DD" w:rsidRDefault="00DC41AB"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CD0B94" w:rsidRPr="00CD0B94" w14:paraId="50324F3C"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71814F" w14:textId="77777777" w:rsidR="00CD0B94" w:rsidRPr="00CD0B94" w:rsidRDefault="00CD0B94" w:rsidP="00E87ECA">
            <w:r w:rsidRPr="00CD0B94">
              <w:t>The province/territory actively participates in a forum with external partners to share/discuss lessons and practices related to mitigation and resilience.</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47AA5AA" w14:textId="77777777" w:rsidR="00CD0B94" w:rsidRPr="00CD0B94" w:rsidRDefault="00CD0B94" w:rsidP="00E87ECA">
            <w:r w:rsidRPr="00CD0B94">
              <w:t>2</w:t>
            </w:r>
          </w:p>
        </w:tc>
      </w:tr>
      <w:tr w:rsidR="00CD0B94" w:rsidRPr="00CD0B94" w14:paraId="372F9762"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16A0E4" w14:textId="77777777" w:rsidR="00CD0B94" w:rsidRPr="00CD0B94" w:rsidRDefault="00CD0B94" w:rsidP="00E87ECA">
            <w:r w:rsidRPr="00CD0B94">
              <w:t>The province/territory shares lessons, guidance materials and templates, and/or case studies of successful mitigation projects.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271A7A" w14:textId="77777777" w:rsidR="00CD0B94" w:rsidRPr="00CD0B94" w:rsidRDefault="00CD0B94" w:rsidP="00E87ECA">
            <w:r w:rsidRPr="00CD0B94">
              <w:t>1</w:t>
            </w:r>
          </w:p>
        </w:tc>
      </w:tr>
      <w:tr w:rsidR="00CD0B94" w:rsidRPr="00CD0B94" w14:paraId="2D77A11F"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CF5502" w14:textId="77777777" w:rsidR="00CD0B94" w:rsidRPr="00CD0B94" w:rsidRDefault="00CD0B94" w:rsidP="00E87ECA">
            <w:r w:rsidRPr="00CD0B94">
              <w:lastRenderedPageBreak/>
              <w:t>The province/territory does not actively share lessons, materials, and/or case studies of successful mitigation projects.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FCEF5E" w14:textId="77777777" w:rsidR="00CD0B94" w:rsidRPr="00CD0B94" w:rsidRDefault="00CD0B94" w:rsidP="00E87ECA">
            <w:r w:rsidRPr="00CD0B94">
              <w:t>0</w:t>
            </w:r>
          </w:p>
        </w:tc>
      </w:tr>
      <w:tr w:rsidR="00CD0B94" w:rsidRPr="00CD0B94" w14:paraId="2B4177F1" w14:textId="77777777" w:rsidTr="00CE22C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6CF009"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0F0A163F" w14:textId="77777777" w:rsidR="00CE22CE" w:rsidRDefault="00CE22CE" w:rsidP="00E87ECA"/>
    <w:p w14:paraId="6805CBAD" w14:textId="1EE214A7" w:rsidR="00CE22CE" w:rsidRDefault="00A71761" w:rsidP="00E87ECA">
      <w:pPr>
        <w:pStyle w:val="Heading3"/>
        <w:spacing w:before="0" w:after="160"/>
      </w:pPr>
      <w:r>
        <w:t>Supporting Local Authorities</w:t>
      </w:r>
    </w:p>
    <w:p w14:paraId="09A316E5" w14:textId="11042B82" w:rsidR="00CD0B94" w:rsidRPr="00CD0B94" w:rsidRDefault="00CD0B94" w:rsidP="00E87ECA">
      <w:pPr>
        <w:pStyle w:val="Heading4"/>
        <w:spacing w:before="0" w:after="160"/>
      </w:pPr>
      <w:r w:rsidRPr="00CD0B94">
        <w:t>Activity</w:t>
      </w:r>
    </w:p>
    <w:p w14:paraId="50B20776" w14:textId="77777777" w:rsidR="00CD0B94" w:rsidRPr="00CD0B94" w:rsidRDefault="00CD0B94" w:rsidP="00E87ECA">
      <w:r w:rsidRPr="00CD0B94">
        <w:t>The province/territory supports local authorities in the development of local disaster mitigation plans for their jurisdictions.</w:t>
      </w:r>
    </w:p>
    <w:p w14:paraId="58D52384" w14:textId="77777777" w:rsidR="00CD0B94" w:rsidRPr="00CD0B94" w:rsidRDefault="00CD0B94" w:rsidP="00E87ECA">
      <w:pPr>
        <w:pStyle w:val="Heading4"/>
        <w:spacing w:before="0" w:after="160"/>
      </w:pPr>
      <w:r w:rsidRPr="00CD0B94">
        <w:t>Criteria</w:t>
      </w:r>
    </w:p>
    <w:p w14:paraId="03C05D24" w14:textId="77777777" w:rsidR="00CD0B94" w:rsidRPr="00CD0B94" w:rsidRDefault="00CD0B94" w:rsidP="00E87ECA">
      <w:r w:rsidRPr="00CD0B94">
        <w:t>Training refers to courses, workshops, or other types of learning sessions. Training can be direct delivery (the province/territory trains local authorities), contracted out (the province/territory pays a service provider to train local authorities), or funding for training (the Province/Territory provides funding to local authorities to secure their own training). To qualify as training, the delivery must include some type of interaction and learning experience, and not just a document or how-to guide.</w:t>
      </w:r>
    </w:p>
    <w:p w14:paraId="05C1EDEC" w14:textId="77777777" w:rsidR="00CD0B94" w:rsidRDefault="00CD0B94" w:rsidP="00E87ECA">
      <w:r w:rsidRPr="00CD0B94">
        <w:t>Dedicated funding refers to multi-year funding that is specific to the development of local disaster mitigation plans and not generic funding that can but does not have to be used for mitigation plan development. Dedicated funding can include provinces/territories fund-matching or contributing to other sources of funding for local authorities (such as funding available through the Federation of Canadian Municipalities); however, other sources of funding cannot be the sole source of funding available to local authorities.</w:t>
      </w:r>
    </w:p>
    <w:p w14:paraId="67CAE7BC" w14:textId="62640003" w:rsidR="00130EAE" w:rsidRPr="00CD0B94" w:rsidRDefault="00130EAE" w:rsidP="00E87ECA">
      <w:pPr>
        <w:pStyle w:val="Heading5"/>
        <w:spacing w:before="0" w:after="160"/>
        <w:jc w:val="center"/>
      </w:pPr>
      <w:r w:rsidRPr="00CD0B94">
        <w:t>Table 2.3: Supporting Local Authorities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DC41AB" w:rsidRPr="007555DD" w14:paraId="0E16EE52" w14:textId="77777777" w:rsidTr="004963F4">
        <w:trPr>
          <w:trHeight w:val="66"/>
        </w:trPr>
        <w:tc>
          <w:tcPr>
            <w:tcW w:w="7645" w:type="dxa"/>
            <w:shd w:val="clear" w:color="auto" w:fill="D9D9D9" w:themeFill="background1" w:themeFillShade="D9"/>
            <w:vAlign w:val="center"/>
          </w:tcPr>
          <w:p w14:paraId="5EC94241" w14:textId="77777777" w:rsidR="00DC41AB" w:rsidRPr="007555DD" w:rsidRDefault="00DC41AB"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69FF9C2A" w14:textId="77777777" w:rsidR="00DC41AB" w:rsidRPr="007555DD" w:rsidRDefault="00DC41AB"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CD0B94" w:rsidRPr="00CD0B94" w14:paraId="04541143"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C3E900" w14:textId="77777777" w:rsidR="00CD0B94" w:rsidRPr="00CD0B94" w:rsidRDefault="00CD0B94" w:rsidP="00E87ECA">
            <w:r w:rsidRPr="00CD0B94">
              <w:t>The province/territory provides dedicated training and funding for local authorities to develop local disaster mitigation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CEA31B" w14:textId="77777777" w:rsidR="00CD0B94" w:rsidRPr="00CD0B94" w:rsidRDefault="00CD0B94" w:rsidP="00E87ECA">
            <w:r w:rsidRPr="00CD0B94">
              <w:t>8</w:t>
            </w:r>
          </w:p>
        </w:tc>
      </w:tr>
      <w:tr w:rsidR="00CD0B94" w:rsidRPr="00CD0B94" w14:paraId="11B5DC06"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26F1A3" w14:textId="77777777" w:rsidR="00CD0B94" w:rsidRPr="00CD0B94" w:rsidRDefault="00CD0B94" w:rsidP="00E87ECA">
            <w:r w:rsidRPr="00CD0B94">
              <w:t>The province/territory provides dedicated funding for local authorities to develop local disaster mitigation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10B9D3" w14:textId="77777777" w:rsidR="00CD0B94" w:rsidRPr="00CD0B94" w:rsidRDefault="00CD0B94" w:rsidP="00E87ECA">
            <w:r w:rsidRPr="00CD0B94">
              <w:t>5</w:t>
            </w:r>
          </w:p>
        </w:tc>
      </w:tr>
      <w:tr w:rsidR="00CD0B94" w:rsidRPr="00CD0B94" w14:paraId="053C9CFC"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C69C23" w14:textId="77777777" w:rsidR="00CD0B94" w:rsidRPr="00CD0B94" w:rsidRDefault="00CD0B94" w:rsidP="00E87ECA">
            <w:r w:rsidRPr="00CD0B94">
              <w:lastRenderedPageBreak/>
              <w:t>The province/territory provides dedicated training to local authorities on how to develop and maintain local disaster mitigation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60A8E8" w14:textId="77777777" w:rsidR="00CD0B94" w:rsidRPr="00CD0B94" w:rsidRDefault="00CD0B94" w:rsidP="00E87ECA">
            <w:r w:rsidRPr="00CD0B94">
              <w:t>3</w:t>
            </w:r>
          </w:p>
        </w:tc>
      </w:tr>
      <w:tr w:rsidR="00CD0B94" w:rsidRPr="00CD0B94" w14:paraId="1F537979"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5F14B7" w14:textId="77777777" w:rsidR="00CD0B94" w:rsidRPr="00CD0B94" w:rsidRDefault="00CD0B94" w:rsidP="00E87ECA">
            <w:r w:rsidRPr="00CD0B94">
              <w:t>The province/territory does not provide dedicated support to local authorities to develop local disaster mitigation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AA678E" w14:textId="77777777" w:rsidR="00CD0B94" w:rsidRPr="00CD0B94" w:rsidRDefault="00CD0B94" w:rsidP="00E87ECA">
            <w:r w:rsidRPr="00CD0B94">
              <w:t>0</w:t>
            </w:r>
          </w:p>
        </w:tc>
      </w:tr>
      <w:tr w:rsidR="00CD0B94" w:rsidRPr="00CD0B94" w14:paraId="098E6D56" w14:textId="77777777" w:rsidTr="00130EA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67CF74"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2686BD1A" w14:textId="77777777" w:rsidR="00DC41AB" w:rsidRPr="00DC41AB" w:rsidRDefault="00DC41AB" w:rsidP="00E87ECA"/>
    <w:p w14:paraId="380527B4" w14:textId="5A19B021" w:rsidR="00CD0B94" w:rsidRPr="00CD0B94" w:rsidRDefault="00CD0B94" w:rsidP="00E87ECA">
      <w:pPr>
        <w:pStyle w:val="Heading3"/>
        <w:spacing w:before="0" w:after="160"/>
      </w:pPr>
      <w:r w:rsidRPr="00CD0B94">
        <w:t>Local Authority Disaster Mitigation Plans</w:t>
      </w:r>
    </w:p>
    <w:p w14:paraId="38D0E55B" w14:textId="77777777" w:rsidR="00CD0B94" w:rsidRPr="00CD0B94" w:rsidRDefault="00CD0B94" w:rsidP="00E87ECA">
      <w:pPr>
        <w:pStyle w:val="Heading4"/>
        <w:spacing w:before="0" w:after="160"/>
      </w:pPr>
      <w:r w:rsidRPr="00CD0B94">
        <w:t>Activity</w:t>
      </w:r>
    </w:p>
    <w:p w14:paraId="40FB9A0B" w14:textId="77777777" w:rsidR="00CD0B94" w:rsidRPr="00CD0B94" w:rsidRDefault="00CD0B94" w:rsidP="00E87ECA">
      <w:r w:rsidRPr="00CD0B94">
        <w:t xml:space="preserve">Local authorities in the province/territory each have a disaster mitigation plan that is current, </w:t>
      </w:r>
      <w:proofErr w:type="gramStart"/>
      <w:r w:rsidRPr="00CD0B94">
        <w:t>publicly-available</w:t>
      </w:r>
      <w:proofErr w:type="gramEnd"/>
      <w:r w:rsidRPr="00CD0B94">
        <w:t>, and includes a prioritized list of mitigation projects based on a risk assessment.</w:t>
      </w:r>
    </w:p>
    <w:p w14:paraId="0F516480" w14:textId="77777777" w:rsidR="00CD0B94" w:rsidRPr="00CD0B94" w:rsidRDefault="00CD0B94" w:rsidP="00E87ECA">
      <w:pPr>
        <w:pStyle w:val="Heading4"/>
        <w:spacing w:before="0" w:after="160"/>
      </w:pPr>
      <w:r w:rsidRPr="00CD0B94">
        <w:t>Criteria</w:t>
      </w:r>
    </w:p>
    <w:p w14:paraId="4089476F" w14:textId="77777777" w:rsidR="00CD0B94" w:rsidRPr="00CD0B94" w:rsidRDefault="00CD0B94" w:rsidP="00E87ECA">
      <w:r w:rsidRPr="00CD0B94">
        <w:t>To receive credit, local authority disaster mitigation plans must be:</w:t>
      </w:r>
    </w:p>
    <w:p w14:paraId="6D864B5B" w14:textId="77777777" w:rsidR="00CD0B94" w:rsidRPr="00CD0B94" w:rsidRDefault="00CD0B94" w:rsidP="00E87ECA">
      <w:pPr>
        <w:pStyle w:val="ListParagraph"/>
        <w:numPr>
          <w:ilvl w:val="0"/>
          <w:numId w:val="40"/>
        </w:numPr>
      </w:pPr>
      <w:r w:rsidRPr="00CD0B94">
        <w:t>Risk-based and prioritized: Mitigation projects are based on a risk assessment and prioritized based on criteria that at least includes level of risk</w:t>
      </w:r>
    </w:p>
    <w:p w14:paraId="5405E0B0" w14:textId="77777777" w:rsidR="00CD0B94" w:rsidRPr="00CD0B94" w:rsidRDefault="00CD0B94" w:rsidP="00E87ECA">
      <w:pPr>
        <w:pStyle w:val="ListParagraph"/>
        <w:numPr>
          <w:ilvl w:val="0"/>
          <w:numId w:val="40"/>
        </w:numPr>
      </w:pPr>
      <w:r w:rsidRPr="00CD0B94">
        <w:t>Current: The plan is currently in use (e.g., not archived or superseded) and has been issued and/or updated in the past four years</w:t>
      </w:r>
    </w:p>
    <w:p w14:paraId="008998E2" w14:textId="77777777" w:rsidR="00CD0B94" w:rsidRDefault="00CD0B94" w:rsidP="00E87ECA">
      <w:pPr>
        <w:pStyle w:val="ListParagraph"/>
        <w:numPr>
          <w:ilvl w:val="0"/>
          <w:numId w:val="40"/>
        </w:numPr>
      </w:pPr>
      <w:r w:rsidRPr="00CD0B94">
        <w:t>Publicly accessible: Is available online in a digital format, free of charge, and can be located using a reasonable search</w:t>
      </w:r>
    </w:p>
    <w:p w14:paraId="7E52328F" w14:textId="6850F730" w:rsidR="00DC41AB" w:rsidRPr="00CD0B94" w:rsidRDefault="00DC41AB" w:rsidP="00E87ECA">
      <w:pPr>
        <w:pStyle w:val="Heading5"/>
        <w:spacing w:before="0" w:after="160"/>
        <w:jc w:val="center"/>
      </w:pPr>
      <w:r w:rsidRPr="00CD0B94">
        <w:t>Table 2.4: Local Authority Disaster Mitigation Plans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DC41AB" w:rsidRPr="007555DD" w14:paraId="097F5006" w14:textId="77777777" w:rsidTr="004963F4">
        <w:trPr>
          <w:trHeight w:val="66"/>
        </w:trPr>
        <w:tc>
          <w:tcPr>
            <w:tcW w:w="7645" w:type="dxa"/>
            <w:shd w:val="clear" w:color="auto" w:fill="D9D9D9" w:themeFill="background1" w:themeFillShade="D9"/>
            <w:vAlign w:val="center"/>
          </w:tcPr>
          <w:p w14:paraId="59DE6D04" w14:textId="77777777" w:rsidR="00DC41AB" w:rsidRPr="007555DD" w:rsidRDefault="00DC41AB"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45091BE1" w14:textId="77777777" w:rsidR="00DC41AB" w:rsidRPr="007555DD" w:rsidRDefault="00DC41AB"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DC41AB" w:rsidRPr="00CD0B94" w14:paraId="0E4C596F"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3AA9DA" w14:textId="1BDFF11A" w:rsidR="00CD0B94" w:rsidRPr="00CD0B94" w:rsidRDefault="00DC41AB" w:rsidP="00E87ECA">
            <w:pPr>
              <w:rPr>
                <w:b/>
                <w:bCs/>
              </w:rPr>
            </w:pPr>
            <w:r>
              <w:rPr>
                <w:b/>
                <w:bCs/>
              </w:rPr>
              <w:t>Activity</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F92D043" w14:textId="4C32430A" w:rsidR="00CD0B94" w:rsidRPr="00CD0B94" w:rsidRDefault="00DC41AB" w:rsidP="00E87ECA">
            <w:pPr>
              <w:rPr>
                <w:b/>
                <w:bCs/>
              </w:rPr>
            </w:pPr>
            <w:r w:rsidRPr="00DC41AB">
              <w:rPr>
                <w:b/>
                <w:bCs/>
              </w:rPr>
              <w:t># of Credits</w:t>
            </w:r>
          </w:p>
        </w:tc>
      </w:tr>
      <w:tr w:rsidR="00DC41AB" w:rsidRPr="00CD0B94" w14:paraId="583F3785"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D6DC7B0" w14:textId="7E0DC51D" w:rsidR="00DC41AB" w:rsidRPr="00CD0B94" w:rsidRDefault="00DC41AB" w:rsidP="00E87ECA">
            <w:r w:rsidRPr="00CD0B94">
              <w:t>At least 75% of local authorities have a current disaster mitigation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792727E" w14:textId="231FB9E4" w:rsidR="00DC41AB" w:rsidRPr="00CD0B94" w:rsidRDefault="00DC41AB" w:rsidP="00E87ECA">
            <w:r>
              <w:t>15</w:t>
            </w:r>
          </w:p>
        </w:tc>
      </w:tr>
      <w:tr w:rsidR="00DC41AB" w:rsidRPr="00CD0B94" w14:paraId="28ED981D"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0FA88E" w14:textId="77777777" w:rsidR="00CD0B94" w:rsidRPr="00CD0B94" w:rsidRDefault="00CD0B94" w:rsidP="00E87ECA">
            <w:r w:rsidRPr="00CD0B94">
              <w:t>At least 50% of local authorities have a current disaster mitigation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C21006" w14:textId="77777777" w:rsidR="00CD0B94" w:rsidRPr="00CD0B94" w:rsidRDefault="00CD0B94" w:rsidP="00E87ECA">
            <w:r w:rsidRPr="00CD0B94">
              <w:t>10</w:t>
            </w:r>
          </w:p>
        </w:tc>
      </w:tr>
      <w:tr w:rsidR="00DC41AB" w:rsidRPr="00CD0B94" w14:paraId="0FA5C99A"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F15386" w14:textId="77777777" w:rsidR="00CD0B94" w:rsidRPr="00CD0B94" w:rsidRDefault="00CD0B94" w:rsidP="00E87ECA">
            <w:r w:rsidRPr="00CD0B94">
              <w:lastRenderedPageBreak/>
              <w:t>At least 25% of local authorities have a current disaster mitigation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1DFDFD" w14:textId="77777777" w:rsidR="00CD0B94" w:rsidRPr="00CD0B94" w:rsidRDefault="00CD0B94" w:rsidP="00E87ECA">
            <w:r w:rsidRPr="00CD0B94">
              <w:t>5</w:t>
            </w:r>
          </w:p>
        </w:tc>
      </w:tr>
      <w:tr w:rsidR="00DC41AB" w:rsidRPr="00CD0B94" w14:paraId="6B64396A"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33C1A1" w14:textId="77777777" w:rsidR="00CD0B94" w:rsidRPr="00CD0B94" w:rsidRDefault="00CD0B94" w:rsidP="00E87ECA">
            <w:r w:rsidRPr="00CD0B94">
              <w:t>The province/territory has a system for and actively tracks how many local authorities have a current disaster mitigation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982F87" w14:textId="77777777" w:rsidR="00CD0B94" w:rsidRPr="00CD0B94" w:rsidRDefault="00CD0B94" w:rsidP="00E87ECA">
            <w:r w:rsidRPr="00CD0B94">
              <w:t>2</w:t>
            </w:r>
          </w:p>
        </w:tc>
      </w:tr>
      <w:tr w:rsidR="00DC41AB" w:rsidRPr="00CD0B94" w14:paraId="2951E28A" w14:textId="77777777" w:rsidTr="00DC41AB">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EFB7C82" w14:textId="77777777" w:rsidR="00CD0B94" w:rsidRPr="00CD0B94" w:rsidRDefault="00CD0B94" w:rsidP="00E87ECA">
            <w:r w:rsidRPr="00CD0B94">
              <w:t>The number of local authorities with disaster mitigation plans is unknown.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E481BD" w14:textId="77777777" w:rsidR="00CD0B94" w:rsidRPr="00CD0B94" w:rsidRDefault="00CD0B94" w:rsidP="00E87ECA">
            <w:r w:rsidRPr="00CD0B94">
              <w:t>0</w:t>
            </w:r>
          </w:p>
        </w:tc>
      </w:tr>
      <w:tr w:rsidR="00CD0B94" w:rsidRPr="00CD0B94" w14:paraId="6FBA6B3A" w14:textId="77777777" w:rsidTr="00DC41AB">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6C886C"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57E50042" w14:textId="77777777" w:rsidR="00DC41AB" w:rsidRDefault="00DC41AB" w:rsidP="00E87ECA"/>
    <w:p w14:paraId="5DB081A9" w14:textId="21A87D8B" w:rsidR="00CD0B94" w:rsidRPr="00CD0B94" w:rsidRDefault="00CD0B94" w:rsidP="00E87ECA">
      <w:pPr>
        <w:pStyle w:val="Heading3"/>
        <w:spacing w:before="0" w:after="160"/>
      </w:pPr>
      <w:r w:rsidRPr="00CD0B94">
        <w:t>Leveraging Disaster Resilience Enhancements and Strategic Mitigation Funding in the DFAA</w:t>
      </w:r>
    </w:p>
    <w:p w14:paraId="576B1852" w14:textId="77777777" w:rsidR="00CD0B94" w:rsidRPr="00CD0B94" w:rsidRDefault="00CD0B94" w:rsidP="00E87ECA">
      <w:pPr>
        <w:pStyle w:val="Heading4"/>
        <w:spacing w:before="0" w:after="160"/>
      </w:pPr>
      <w:r w:rsidRPr="00CD0B94">
        <w:t>Activity</w:t>
      </w:r>
    </w:p>
    <w:p w14:paraId="4290D928" w14:textId="77777777" w:rsidR="00CD0B94" w:rsidRPr="00CD0B94" w:rsidRDefault="00CD0B94" w:rsidP="00E87ECA">
      <w:r w:rsidRPr="00CD0B94">
        <w:t>The province/territory leverages available disaster resilience enhancement and strategic mitigation funding within the DFAA Program for its eligible disasters.</w:t>
      </w:r>
    </w:p>
    <w:p w14:paraId="49E7A56D" w14:textId="77777777" w:rsidR="00CD0B94" w:rsidRPr="00CD0B94" w:rsidRDefault="00CD0B94" w:rsidP="00E87ECA">
      <w:pPr>
        <w:pStyle w:val="Heading4"/>
        <w:spacing w:before="0" w:after="160"/>
      </w:pPr>
      <w:r w:rsidRPr="00CD0B94">
        <w:t>Criteria</w:t>
      </w:r>
    </w:p>
    <w:p w14:paraId="56C234E4" w14:textId="77777777" w:rsidR="00CD0B94" w:rsidRPr="00CD0B94" w:rsidRDefault="00CD0B94" w:rsidP="00E87ECA">
      <w:r w:rsidRPr="00CD0B94">
        <w:t>For spending on disaster resilience enhancements and/or strategic mitigation, the province/territory may use its most recent eligible disaster or the average of the past three eligible disasters.</w:t>
      </w:r>
    </w:p>
    <w:p w14:paraId="7373F70D" w14:textId="77777777" w:rsidR="00CD0B94" w:rsidRPr="00CD0B94" w:rsidRDefault="00CD0B94" w:rsidP="00E87ECA">
      <w:r w:rsidRPr="00CD0B94">
        <w:t>Disaster resilience enhancements spending can refer to either total maximum amount (i.e., of the available disaster resilience enhancement funding, the province/territory spent at least 20 or 50%) or to the number of projects (i.e., for at least 20 or 50% of its claims/projects in Streams 2 and 3, the province/territory included disaster resilience enhancement funding).</w:t>
      </w:r>
    </w:p>
    <w:p w14:paraId="42D9A0F6" w14:textId="77777777" w:rsidR="00CD0B94" w:rsidRDefault="00CD0B94" w:rsidP="00E87ECA">
      <w:r w:rsidRPr="00CD0B94">
        <w:t>Strategic mitigation spending refers to the amount of the Stream 5 funding envelope of the province/territory (either 50 or 80% of the available funding envelope).</w:t>
      </w:r>
    </w:p>
    <w:p w14:paraId="6DEDDBE9" w14:textId="115AAF11" w:rsidR="00666C9E" w:rsidRPr="00CD0B94" w:rsidRDefault="00666C9E" w:rsidP="00E87ECA">
      <w:pPr>
        <w:pStyle w:val="Heading5"/>
        <w:spacing w:before="0" w:after="160"/>
        <w:jc w:val="center"/>
      </w:pPr>
      <w:r w:rsidRPr="00CD0B94">
        <w:t>Table 2.5: Leveraging Disaster Resilience Enhancements and Strategic Mitigation Funding in the DFAA</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666C9E" w:rsidRPr="007555DD" w14:paraId="22190865" w14:textId="77777777" w:rsidTr="004963F4">
        <w:trPr>
          <w:trHeight w:val="66"/>
        </w:trPr>
        <w:tc>
          <w:tcPr>
            <w:tcW w:w="7645" w:type="dxa"/>
            <w:shd w:val="clear" w:color="auto" w:fill="D9D9D9" w:themeFill="background1" w:themeFillShade="D9"/>
            <w:vAlign w:val="center"/>
          </w:tcPr>
          <w:p w14:paraId="1C69C878" w14:textId="77777777" w:rsidR="00666C9E" w:rsidRPr="007555DD" w:rsidRDefault="00666C9E"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213C51C0" w14:textId="77777777" w:rsidR="00666C9E" w:rsidRPr="007555DD" w:rsidRDefault="00666C9E"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CD0B94" w:rsidRPr="00CD0B94" w14:paraId="6D6E2D4B" w14:textId="77777777" w:rsidTr="00666C9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4D3F7C" w14:textId="77777777" w:rsidR="00CD0B94" w:rsidRPr="00CD0B94" w:rsidRDefault="00CD0B94" w:rsidP="00E87ECA">
            <w:r w:rsidRPr="00CD0B94">
              <w:lastRenderedPageBreak/>
              <w:t>In its most recent eligible disaster, the province/territory spent at least 50% of its eligible disaster resilience enhancement funding and/or 80% of its strategic mitigation (Stream 5) funding.</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A893976" w14:textId="77777777" w:rsidR="00CD0B94" w:rsidRPr="00CD0B94" w:rsidRDefault="00CD0B94" w:rsidP="00E87ECA">
            <w:r w:rsidRPr="00CD0B94">
              <w:t>5</w:t>
            </w:r>
          </w:p>
        </w:tc>
      </w:tr>
      <w:tr w:rsidR="00CD0B94" w:rsidRPr="00CD0B94" w14:paraId="1F731B9A" w14:textId="77777777" w:rsidTr="00666C9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CC96C0" w14:textId="77777777" w:rsidR="00CD0B94" w:rsidRPr="00CD0B94" w:rsidRDefault="00CD0B94" w:rsidP="00E87ECA">
            <w:r w:rsidRPr="00CD0B94">
              <w:t>In its most recent eligible disaster, the province/territory spent at least 20% of its eligible disaster resilience enhancement funding and/or 50% of its strategic mitigation (Stream 5) funding.</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C00B01" w14:textId="77777777" w:rsidR="00CD0B94" w:rsidRPr="00CD0B94" w:rsidRDefault="00CD0B94" w:rsidP="00E87ECA">
            <w:r w:rsidRPr="00CD0B94">
              <w:t>3</w:t>
            </w:r>
          </w:p>
        </w:tc>
      </w:tr>
      <w:tr w:rsidR="00CD0B94" w:rsidRPr="00CD0B94" w14:paraId="74A39476" w14:textId="77777777" w:rsidTr="00666C9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F6AE8D" w14:textId="77777777" w:rsidR="00CD0B94" w:rsidRPr="00CD0B94" w:rsidRDefault="00CD0B94" w:rsidP="00E87ECA">
            <w:r w:rsidRPr="00CD0B94">
              <w:t>The province/territory's disaster financial assistance program includes eligibility for disaster resilience enhancements under Streams 2 and 3 and for strategic mitigation under Stream 5.</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931544" w14:textId="77777777" w:rsidR="00CD0B94" w:rsidRPr="00CD0B94" w:rsidRDefault="00CD0B94" w:rsidP="00E87ECA">
            <w:r w:rsidRPr="00CD0B94">
              <w:t>2</w:t>
            </w:r>
          </w:p>
        </w:tc>
      </w:tr>
      <w:tr w:rsidR="00CD0B94" w:rsidRPr="00CD0B94" w14:paraId="6B2A6E9A" w14:textId="77777777" w:rsidTr="00666C9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836D00" w14:textId="77777777" w:rsidR="00CD0B94" w:rsidRPr="00CD0B94" w:rsidRDefault="00CD0B94" w:rsidP="00E87ECA">
            <w:r w:rsidRPr="00CD0B94">
              <w:t>The province/territory's disaster financial assistance program includes eligibility for strategic mitigation under Stream 5.</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F975D6" w14:textId="77777777" w:rsidR="00CD0B94" w:rsidRPr="00CD0B94" w:rsidRDefault="00CD0B94" w:rsidP="00E87ECA">
            <w:r w:rsidRPr="00CD0B94">
              <w:t>1</w:t>
            </w:r>
          </w:p>
        </w:tc>
      </w:tr>
      <w:tr w:rsidR="00CD0B94" w:rsidRPr="00CD0B94" w14:paraId="66B417DB" w14:textId="77777777" w:rsidTr="00666C9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E1FE4F" w14:textId="77777777" w:rsidR="00CD0B94" w:rsidRPr="00CD0B94" w:rsidRDefault="00CD0B94" w:rsidP="00E87ECA">
            <w:r w:rsidRPr="00CD0B94">
              <w:t>The province/territory's disaster financial assistance program includes eligibility for disaster resilience enhancements under Streams 2 and 3.</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E5F9FC" w14:textId="77777777" w:rsidR="00CD0B94" w:rsidRPr="00CD0B94" w:rsidRDefault="00CD0B94" w:rsidP="00E87ECA">
            <w:r w:rsidRPr="00CD0B94">
              <w:t>1</w:t>
            </w:r>
          </w:p>
        </w:tc>
      </w:tr>
      <w:tr w:rsidR="00CD0B94" w:rsidRPr="00CD0B94" w14:paraId="426ACE56" w14:textId="77777777" w:rsidTr="00666C9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040833" w14:textId="77777777" w:rsidR="00CD0B94" w:rsidRPr="00CD0B94" w:rsidRDefault="00CD0B94" w:rsidP="00E87ECA">
            <w:r w:rsidRPr="00CD0B94">
              <w:t>The province/territory's disaster financial assistance program does not include eligibility for disaster resilience enhancements or strategic mitigation funding.</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BB45A0" w14:textId="77777777" w:rsidR="00CD0B94" w:rsidRPr="00CD0B94" w:rsidRDefault="00CD0B94" w:rsidP="00E87ECA">
            <w:r w:rsidRPr="00CD0B94">
              <w:t>0</w:t>
            </w:r>
          </w:p>
        </w:tc>
      </w:tr>
      <w:tr w:rsidR="00CD0B94" w:rsidRPr="00CD0B94" w14:paraId="7704C2D3" w14:textId="77777777" w:rsidTr="00666C9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67A9076"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w:t>
            </w:r>
          </w:p>
        </w:tc>
      </w:tr>
    </w:tbl>
    <w:p w14:paraId="520CC08E" w14:textId="77777777" w:rsidR="00666C9E" w:rsidRDefault="00666C9E" w:rsidP="00E87ECA"/>
    <w:p w14:paraId="0CB30F31" w14:textId="3563D5C5" w:rsidR="00CD0B94" w:rsidRPr="00CD0B94" w:rsidRDefault="00CD0B94" w:rsidP="00E87ECA">
      <w:r w:rsidRPr="00CD0B94">
        <w:t>Calculate the total number of credits for this section.</w:t>
      </w:r>
    </w:p>
    <w:p w14:paraId="4C5A8C10" w14:textId="77777777" w:rsidR="00CD0B94" w:rsidRPr="00CD0B94" w:rsidRDefault="00CD0B94" w:rsidP="00E87ECA">
      <w:pPr>
        <w:pStyle w:val="Heading2"/>
        <w:spacing w:before="0" w:after="160"/>
      </w:pPr>
      <w:r w:rsidRPr="00CD0B94">
        <w:t>Section 3: Pre-Disaster Recovery Planning</w:t>
      </w:r>
    </w:p>
    <w:p w14:paraId="48BC23AB" w14:textId="77777777" w:rsidR="00CD0B94" w:rsidRPr="00CD0B94" w:rsidRDefault="00CD0B94" w:rsidP="00E87ECA">
      <w:pPr>
        <w:pStyle w:val="Heading3"/>
        <w:spacing w:before="0" w:after="160"/>
      </w:pPr>
      <w:r w:rsidRPr="00CD0B94">
        <w:t>Pre-Disaster Recovery Plan</w:t>
      </w:r>
    </w:p>
    <w:p w14:paraId="74B13980" w14:textId="77777777" w:rsidR="00CD0B94" w:rsidRPr="00CD0B94" w:rsidRDefault="00CD0B94" w:rsidP="00E87ECA">
      <w:pPr>
        <w:pStyle w:val="Heading4"/>
        <w:spacing w:before="0" w:after="160"/>
      </w:pPr>
      <w:r w:rsidRPr="00CD0B94">
        <w:t>Activity</w:t>
      </w:r>
    </w:p>
    <w:p w14:paraId="4DF7D04C" w14:textId="77777777" w:rsidR="00CD0B94" w:rsidRPr="00CD0B94" w:rsidRDefault="00CD0B94" w:rsidP="00E87ECA">
      <w:r w:rsidRPr="00CD0B94">
        <w:t>The province/territory has a pre-disaster recovery plan that is current and publicly accessible.</w:t>
      </w:r>
    </w:p>
    <w:p w14:paraId="36FEC38F" w14:textId="77777777" w:rsidR="00CD0B94" w:rsidRPr="00CD0B94" w:rsidRDefault="00CD0B94" w:rsidP="00E87ECA">
      <w:pPr>
        <w:pStyle w:val="Heading4"/>
        <w:spacing w:before="0" w:after="160"/>
      </w:pPr>
      <w:r w:rsidRPr="00CD0B94">
        <w:lastRenderedPageBreak/>
        <w:t>Criteria</w:t>
      </w:r>
    </w:p>
    <w:p w14:paraId="66A11785" w14:textId="77777777" w:rsidR="00CD0B94" w:rsidRPr="00CD0B94" w:rsidRDefault="00CD0B94" w:rsidP="00E87ECA">
      <w:r w:rsidRPr="00CD0B94">
        <w:t>A pre-disaster recovery plan is one that has been developed in advance, in which the jurisdiction documents (at a minimum): how it intends to approach disaster recovery, who will be involved (organizational structure), with whom it will communicate and how, and the financial resources available for recovery and how to access them.</w:t>
      </w:r>
    </w:p>
    <w:p w14:paraId="4D102999" w14:textId="77777777" w:rsidR="00CD0B94" w:rsidRPr="00CD0B94" w:rsidRDefault="00CD0B94" w:rsidP="00E87ECA">
      <w:r w:rsidRPr="00CD0B94">
        <w:t>For a plan to be considered current, it must be in current use (e.g., not archived or superseded) and have been issued and/or updated in the past four years.</w:t>
      </w:r>
    </w:p>
    <w:p w14:paraId="0018BC16" w14:textId="77777777" w:rsidR="00CD0B94" w:rsidRDefault="00CD0B94" w:rsidP="00E87ECA">
      <w:r w:rsidRPr="00CD0B94">
        <w:t>For a plan to be considered publicly accessible, it must be available online in a digital format, free of charge, and can be located using a reasonable search.</w:t>
      </w:r>
    </w:p>
    <w:p w14:paraId="5B153D43" w14:textId="0DA1C77F" w:rsidR="00695343" w:rsidRPr="00CD0B94" w:rsidRDefault="00695343" w:rsidP="00E87ECA">
      <w:pPr>
        <w:pStyle w:val="Heading5"/>
        <w:spacing w:before="0" w:after="160"/>
        <w:jc w:val="center"/>
      </w:pPr>
      <w:r>
        <w:t>T</w:t>
      </w:r>
      <w:r w:rsidRPr="00CD0B94">
        <w:t>able 3.1: Pre-Disaster Recovery Plan</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695343" w:rsidRPr="007555DD" w14:paraId="1AD3987E" w14:textId="77777777" w:rsidTr="004963F4">
        <w:trPr>
          <w:trHeight w:val="66"/>
        </w:trPr>
        <w:tc>
          <w:tcPr>
            <w:tcW w:w="7645" w:type="dxa"/>
            <w:shd w:val="clear" w:color="auto" w:fill="D9D9D9" w:themeFill="background1" w:themeFillShade="D9"/>
            <w:vAlign w:val="center"/>
          </w:tcPr>
          <w:p w14:paraId="1A32B058" w14:textId="77777777" w:rsidR="00695343" w:rsidRPr="007555DD" w:rsidRDefault="00695343"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25A3DFF6" w14:textId="77777777" w:rsidR="00695343" w:rsidRPr="007555DD" w:rsidRDefault="00695343"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560"/>
        <w:gridCol w:w="1801"/>
      </w:tblGrid>
      <w:tr w:rsidR="00CD0B94" w:rsidRPr="00CD0B94" w14:paraId="26008B5D"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2A743CB" w14:textId="77777777" w:rsidR="00CD0B94" w:rsidRPr="00CD0B94" w:rsidRDefault="00CD0B94" w:rsidP="00E87ECA">
            <w:r w:rsidRPr="00CD0B94">
              <w:t>The province/territory has a pre-disaster recovery plan that has been updated within the past four years.</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E0A401" w14:textId="77777777" w:rsidR="00CD0B94" w:rsidRPr="00CD0B94" w:rsidRDefault="00CD0B94" w:rsidP="00E87ECA">
            <w:r w:rsidRPr="00CD0B94">
              <w:t>5</w:t>
            </w:r>
          </w:p>
        </w:tc>
      </w:tr>
      <w:tr w:rsidR="00CD0B94" w:rsidRPr="00CD0B94" w14:paraId="19A7C8C4"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EF2FD2" w14:textId="77777777" w:rsidR="00CD0B94" w:rsidRPr="00CD0B94" w:rsidRDefault="00CD0B94" w:rsidP="00E87ECA">
            <w:r w:rsidRPr="00CD0B94">
              <w:t>The province/territory has a pre-disaster recovery plan.</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C0A7E9A" w14:textId="77777777" w:rsidR="00CD0B94" w:rsidRPr="00CD0B94" w:rsidRDefault="00CD0B94" w:rsidP="00E87ECA">
            <w:r w:rsidRPr="00CD0B94">
              <w:t>3</w:t>
            </w:r>
          </w:p>
        </w:tc>
      </w:tr>
      <w:tr w:rsidR="00CD0B94" w:rsidRPr="00CD0B94" w14:paraId="110B7F4E"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CDD37B" w14:textId="77777777" w:rsidR="00CD0B94" w:rsidRPr="00CD0B94" w:rsidRDefault="00CD0B94" w:rsidP="00E87ECA">
            <w:r w:rsidRPr="00CD0B94">
              <w:t>The province/territory does not have a pre-disaster recovery plan.</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36EC13" w14:textId="77777777" w:rsidR="00CD0B94" w:rsidRPr="00CD0B94" w:rsidRDefault="00CD0B94" w:rsidP="00E87ECA">
            <w:r w:rsidRPr="00CD0B94">
              <w:t>0</w:t>
            </w:r>
          </w:p>
        </w:tc>
      </w:tr>
      <w:tr w:rsidR="00CD0B94" w:rsidRPr="00CD0B94" w14:paraId="311C2FE4" w14:textId="77777777" w:rsidTr="00695343">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1F841E"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 such as a weblink</w:t>
            </w:r>
          </w:p>
        </w:tc>
      </w:tr>
    </w:tbl>
    <w:p w14:paraId="554FBEB0" w14:textId="77777777" w:rsidR="00695343" w:rsidRDefault="00695343" w:rsidP="00E87ECA"/>
    <w:p w14:paraId="21661220" w14:textId="428DCF1F" w:rsidR="00CD0B94" w:rsidRPr="00CD0B94" w:rsidRDefault="00CD0B94" w:rsidP="00E87ECA">
      <w:pPr>
        <w:pStyle w:val="Heading3"/>
        <w:spacing w:before="0" w:after="160"/>
      </w:pPr>
      <w:r w:rsidRPr="00CD0B94">
        <w:t>Disaster Recovery Indicators</w:t>
      </w:r>
    </w:p>
    <w:p w14:paraId="63D221DD" w14:textId="77777777" w:rsidR="00CD0B94" w:rsidRPr="00CD0B94" w:rsidRDefault="00CD0B94" w:rsidP="00E87ECA">
      <w:pPr>
        <w:pStyle w:val="Heading4"/>
        <w:spacing w:before="0" w:after="160"/>
      </w:pPr>
      <w:r w:rsidRPr="00CD0B94">
        <w:t>Activity</w:t>
      </w:r>
    </w:p>
    <w:p w14:paraId="0F6A0161" w14:textId="77777777" w:rsidR="00CD0B94" w:rsidRPr="00CD0B94" w:rsidRDefault="00CD0B94" w:rsidP="00E87ECA">
      <w:r w:rsidRPr="00CD0B94">
        <w:t>The province/territory has a list of disaster recovery indicators and actively tracks and publicly reports on its disaster recovery indicators.</w:t>
      </w:r>
    </w:p>
    <w:p w14:paraId="70C39930" w14:textId="77777777" w:rsidR="00CD0B94" w:rsidRPr="00CD0B94" w:rsidRDefault="00CD0B94" w:rsidP="00E87ECA">
      <w:pPr>
        <w:pStyle w:val="Heading4"/>
        <w:spacing w:before="0" w:after="160"/>
      </w:pPr>
      <w:r w:rsidRPr="00CD0B94">
        <w:t>Criteria</w:t>
      </w:r>
    </w:p>
    <w:p w14:paraId="1AD8B40F" w14:textId="77777777" w:rsidR="00CD0B94" w:rsidRPr="00CD0B94" w:rsidRDefault="00CD0B94" w:rsidP="00E87ECA">
      <w:r w:rsidRPr="00CD0B94">
        <w:t>Disaster recovery indicators refer to metrics used to measure and evaluate the effectiveness of disaster recovery efforts. To be considered recovery indicators, the identified indicators must be publicly available and include an update cycle that covers the duration of disaster recovery.</w:t>
      </w:r>
    </w:p>
    <w:p w14:paraId="06807367" w14:textId="77777777" w:rsidR="00CD0B94" w:rsidRDefault="00CD0B94" w:rsidP="00E87ECA">
      <w:r w:rsidRPr="00CD0B94">
        <w:lastRenderedPageBreak/>
        <w:t>Recovery indicators should reflect physical, social, economic, and environmental recovery factors to capture a holistic picture of recovery.</w:t>
      </w:r>
    </w:p>
    <w:p w14:paraId="1E96D075" w14:textId="47FFD1E0" w:rsidR="00695343" w:rsidRPr="00CD0B94" w:rsidRDefault="00695343" w:rsidP="00E87ECA">
      <w:pPr>
        <w:pStyle w:val="Heading5"/>
        <w:spacing w:before="0" w:after="160"/>
        <w:jc w:val="center"/>
      </w:pPr>
      <w:r w:rsidRPr="00CD0B94">
        <w:t>Table 3.2: Disaster Recovery Indicators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695343" w:rsidRPr="007555DD" w14:paraId="232DD9CA" w14:textId="77777777" w:rsidTr="004963F4">
        <w:trPr>
          <w:trHeight w:val="66"/>
        </w:trPr>
        <w:tc>
          <w:tcPr>
            <w:tcW w:w="7645" w:type="dxa"/>
            <w:shd w:val="clear" w:color="auto" w:fill="D9D9D9" w:themeFill="background1" w:themeFillShade="D9"/>
            <w:vAlign w:val="center"/>
          </w:tcPr>
          <w:p w14:paraId="306F3AC3" w14:textId="77777777" w:rsidR="00695343" w:rsidRPr="007555DD" w:rsidRDefault="00695343"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362E2428" w14:textId="77777777" w:rsidR="00695343" w:rsidRPr="007555DD" w:rsidRDefault="00695343"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560"/>
        <w:gridCol w:w="1801"/>
      </w:tblGrid>
      <w:tr w:rsidR="00CD0B94" w:rsidRPr="00CD0B94" w14:paraId="3FF0566E"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EA503C" w14:textId="77777777" w:rsidR="00CD0B94" w:rsidRPr="00CD0B94" w:rsidRDefault="00CD0B94" w:rsidP="00E87ECA">
            <w:r w:rsidRPr="00CD0B94">
              <w:t>The province/territory updates its recovery indicators on a regular basis (at least every two years).</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414E05E" w14:textId="77777777" w:rsidR="00CD0B94" w:rsidRPr="00CD0B94" w:rsidRDefault="00CD0B94" w:rsidP="00E87ECA">
            <w:r w:rsidRPr="00CD0B94">
              <w:t>5</w:t>
            </w:r>
          </w:p>
        </w:tc>
      </w:tr>
      <w:tr w:rsidR="00CD0B94" w:rsidRPr="00CD0B94" w14:paraId="398664FC"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30A377" w14:textId="77777777" w:rsidR="00CD0B94" w:rsidRPr="00CD0B94" w:rsidRDefault="00CD0B94" w:rsidP="00E87ECA">
            <w:r w:rsidRPr="00CD0B94">
              <w:t>The province/territory has assessed and publicly reports baseline data for its recovery indicators.</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FBB61E" w14:textId="77777777" w:rsidR="00CD0B94" w:rsidRPr="00CD0B94" w:rsidRDefault="00CD0B94" w:rsidP="00E87ECA">
            <w:r w:rsidRPr="00CD0B94">
              <w:t>3</w:t>
            </w:r>
          </w:p>
        </w:tc>
      </w:tr>
      <w:tr w:rsidR="00CD0B94" w:rsidRPr="00CD0B94" w14:paraId="6D22F1BE"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DCD7FB" w14:textId="77777777" w:rsidR="00CD0B94" w:rsidRPr="00CD0B94" w:rsidRDefault="00CD0B94" w:rsidP="00E87ECA">
            <w:r w:rsidRPr="00CD0B94">
              <w:t>The province/territory has identified a list of recovery indicators and has established a data strategy for how to measure the indicators.</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56C07A" w14:textId="77777777" w:rsidR="00CD0B94" w:rsidRPr="00CD0B94" w:rsidRDefault="00CD0B94" w:rsidP="00E87ECA">
            <w:r w:rsidRPr="00CD0B94">
              <w:t>1</w:t>
            </w:r>
          </w:p>
        </w:tc>
      </w:tr>
      <w:tr w:rsidR="00CD0B94" w:rsidRPr="00CD0B94" w14:paraId="28A1226A"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A0F5BD" w14:textId="77777777" w:rsidR="00CD0B94" w:rsidRPr="00CD0B94" w:rsidRDefault="00CD0B94" w:rsidP="00E87ECA">
            <w:r w:rsidRPr="00CD0B94">
              <w:t>The province/territory does not have or track recovery indicators.</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004D44" w14:textId="77777777" w:rsidR="00CD0B94" w:rsidRPr="00CD0B94" w:rsidRDefault="00CD0B94" w:rsidP="00E87ECA">
            <w:r w:rsidRPr="00CD0B94">
              <w:t>0</w:t>
            </w:r>
          </w:p>
        </w:tc>
      </w:tr>
      <w:tr w:rsidR="00CD0B94" w:rsidRPr="00CD0B94" w14:paraId="70E55EF6" w14:textId="77777777" w:rsidTr="00695343">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8B207E3"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 such as a weblink</w:t>
            </w:r>
          </w:p>
        </w:tc>
      </w:tr>
    </w:tbl>
    <w:p w14:paraId="3E0FB194" w14:textId="77777777" w:rsidR="00695343" w:rsidRDefault="00695343" w:rsidP="00E87ECA"/>
    <w:p w14:paraId="2A78F8DB" w14:textId="3108EA42" w:rsidR="00CD0B94" w:rsidRPr="00CD0B94" w:rsidRDefault="00CD0B94" w:rsidP="00E87ECA">
      <w:pPr>
        <w:pStyle w:val="Heading3"/>
        <w:spacing w:before="0" w:after="160"/>
      </w:pPr>
      <w:r w:rsidRPr="00CD0B94">
        <w:t>Sharing Recovery Lessons</w:t>
      </w:r>
    </w:p>
    <w:p w14:paraId="7DEFBC33" w14:textId="77777777" w:rsidR="00CD0B94" w:rsidRPr="00CD0B94" w:rsidRDefault="00CD0B94" w:rsidP="00E87ECA">
      <w:pPr>
        <w:pStyle w:val="Heading4"/>
        <w:spacing w:before="0" w:after="160"/>
      </w:pPr>
      <w:r w:rsidRPr="00CD0B94">
        <w:t>Activity</w:t>
      </w:r>
    </w:p>
    <w:p w14:paraId="7113FE24" w14:textId="77777777" w:rsidR="00CD0B94" w:rsidRPr="00CD0B94" w:rsidRDefault="00CD0B94" w:rsidP="00E87ECA">
      <w:r w:rsidRPr="00CD0B94">
        <w:t>The province/territory actively shares lessons, guidance materials and templates, and case studies of disaster recovery with external partners in the wider community of practice (e.g., local authorities, other provinces/territories, the federal government, the public, etc.).</w:t>
      </w:r>
    </w:p>
    <w:p w14:paraId="2709909C" w14:textId="77777777" w:rsidR="00CD0B94" w:rsidRPr="00CD0B94" w:rsidRDefault="00CD0B94" w:rsidP="00E87ECA">
      <w:pPr>
        <w:pStyle w:val="Heading4"/>
        <w:spacing w:before="0" w:after="160"/>
      </w:pPr>
      <w:r w:rsidRPr="00CD0B94">
        <w:t>Criteria</w:t>
      </w:r>
    </w:p>
    <w:p w14:paraId="34FD68F2" w14:textId="77777777" w:rsidR="00CD0B94" w:rsidRPr="00CD0B94" w:rsidRDefault="00CD0B94" w:rsidP="00E87ECA">
      <w:r w:rsidRPr="00CD0B94">
        <w:t>Sharing means providing/publishing written materials (e.g., lessons learned, case studies, guidance documents, templates, etc.) to the public or wider community of practice beyond the government. To receive credit for sharing materials, at least two written materials for disaster recovery have been shared/published in the past year (that were created by the province/territory, not redistributing content created by others).</w:t>
      </w:r>
    </w:p>
    <w:p w14:paraId="78AFCF32" w14:textId="77777777" w:rsidR="00CD0B94" w:rsidRDefault="00CD0B94" w:rsidP="00E87ECA">
      <w:r w:rsidRPr="00CD0B94">
        <w:t xml:space="preserve">Actively participating means contributing to the forum with external partners by sharing the experiences of and written materials created by the province/territory with the other </w:t>
      </w:r>
      <w:r w:rsidRPr="00CD0B94">
        <w:lastRenderedPageBreak/>
        <w:t>members of the forum. A forum can include a working group, a multi-jurisdictional initiative, a community of practice, etc. that is primarily dedicated to advancing disaster mitigation. Disaster recovery must be one of the key themes/purposes of the forum.</w:t>
      </w:r>
    </w:p>
    <w:p w14:paraId="7F1707ED" w14:textId="4C7D8659" w:rsidR="00695343" w:rsidRPr="00CD0B94" w:rsidRDefault="00695343" w:rsidP="00E87ECA">
      <w:pPr>
        <w:pStyle w:val="Heading5"/>
        <w:spacing w:before="0" w:after="160"/>
        <w:jc w:val="center"/>
      </w:pPr>
      <w:r w:rsidRPr="00CD0B94">
        <w:t>Table 3.3: Sharing Recovery Lessons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695343" w:rsidRPr="007555DD" w14:paraId="5536C4BD" w14:textId="77777777" w:rsidTr="004963F4">
        <w:trPr>
          <w:trHeight w:val="66"/>
        </w:trPr>
        <w:tc>
          <w:tcPr>
            <w:tcW w:w="7645" w:type="dxa"/>
            <w:shd w:val="clear" w:color="auto" w:fill="D9D9D9" w:themeFill="background1" w:themeFillShade="D9"/>
            <w:vAlign w:val="center"/>
          </w:tcPr>
          <w:p w14:paraId="2E164FC4" w14:textId="77777777" w:rsidR="00695343" w:rsidRPr="007555DD" w:rsidRDefault="00695343"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28FEE227" w14:textId="77777777" w:rsidR="00695343" w:rsidRPr="007555DD" w:rsidRDefault="00695343"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560"/>
        <w:gridCol w:w="1801"/>
      </w:tblGrid>
      <w:tr w:rsidR="00CD0B94" w:rsidRPr="00CD0B94" w14:paraId="5378A9CF"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2D30F8" w14:textId="77777777" w:rsidR="00CD0B94" w:rsidRPr="00CD0B94" w:rsidRDefault="00CD0B94" w:rsidP="00E87ECA">
            <w:r w:rsidRPr="00CD0B94">
              <w:t>The province/territory actively participates in a forum with external partners to share/discuss lessons and practices related to disaster recovery.</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8BC864A" w14:textId="77777777" w:rsidR="00CD0B94" w:rsidRPr="00CD0B94" w:rsidRDefault="00CD0B94" w:rsidP="00E87ECA">
            <w:r w:rsidRPr="00CD0B94">
              <w:t>2</w:t>
            </w:r>
          </w:p>
        </w:tc>
      </w:tr>
      <w:tr w:rsidR="00CD0B94" w:rsidRPr="00CD0B94" w14:paraId="1A223B3A"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175DBD" w14:textId="77777777" w:rsidR="00CD0B94" w:rsidRPr="00CD0B94" w:rsidRDefault="00CD0B94" w:rsidP="00E87ECA">
            <w:r w:rsidRPr="00CD0B94">
              <w:t>The province/territory shares lessons, guidance materials and templates, and/or case studies of disaster recovery.</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73F8F2" w14:textId="77777777" w:rsidR="00CD0B94" w:rsidRPr="00CD0B94" w:rsidRDefault="00CD0B94" w:rsidP="00E87ECA">
            <w:r w:rsidRPr="00CD0B94">
              <w:t>1</w:t>
            </w:r>
          </w:p>
        </w:tc>
      </w:tr>
      <w:tr w:rsidR="00CD0B94" w:rsidRPr="00CD0B94" w14:paraId="5DACEF2C" w14:textId="77777777" w:rsidTr="00695343">
        <w:tc>
          <w:tcPr>
            <w:tcW w:w="403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46D559" w14:textId="77777777" w:rsidR="00CD0B94" w:rsidRPr="00CD0B94" w:rsidRDefault="00CD0B94" w:rsidP="00E87ECA">
            <w:r w:rsidRPr="00CD0B94">
              <w:t>The province/territory does not actively share lessons, materials, and/or case studies of disaster recovery.</w:t>
            </w:r>
          </w:p>
        </w:tc>
        <w:tc>
          <w:tcPr>
            <w:tcW w:w="96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73706D" w14:textId="77777777" w:rsidR="00CD0B94" w:rsidRPr="00CD0B94" w:rsidRDefault="00CD0B94" w:rsidP="00E87ECA">
            <w:r w:rsidRPr="00CD0B94">
              <w:t>0</w:t>
            </w:r>
          </w:p>
        </w:tc>
      </w:tr>
      <w:tr w:rsidR="00CD0B94" w:rsidRPr="00CD0B94" w14:paraId="5DDB68B8" w14:textId="77777777" w:rsidTr="00695343">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E604246"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 such as a weblink</w:t>
            </w:r>
          </w:p>
        </w:tc>
      </w:tr>
    </w:tbl>
    <w:p w14:paraId="1F681930" w14:textId="77777777" w:rsidR="00695343" w:rsidRDefault="00695343" w:rsidP="00E87ECA"/>
    <w:p w14:paraId="454D4D42" w14:textId="2275E1E7" w:rsidR="00CD0B94" w:rsidRPr="00CD0B94" w:rsidRDefault="00CD0B94" w:rsidP="00E87ECA">
      <w:pPr>
        <w:pStyle w:val="Heading3"/>
        <w:spacing w:before="0" w:after="160"/>
      </w:pPr>
      <w:r w:rsidRPr="00CD0B94">
        <w:t>Supporting Local Authorities</w:t>
      </w:r>
    </w:p>
    <w:p w14:paraId="4199C4D4" w14:textId="77777777" w:rsidR="00CD0B94" w:rsidRPr="00CD0B94" w:rsidRDefault="00CD0B94" w:rsidP="00E87ECA">
      <w:pPr>
        <w:pStyle w:val="Heading4"/>
        <w:spacing w:before="0" w:after="160"/>
      </w:pPr>
      <w:r w:rsidRPr="00CD0B94">
        <w:t>Activity</w:t>
      </w:r>
    </w:p>
    <w:p w14:paraId="4320C96A" w14:textId="77777777" w:rsidR="00CD0B94" w:rsidRPr="00CD0B94" w:rsidRDefault="00CD0B94" w:rsidP="00E87ECA">
      <w:r w:rsidRPr="00CD0B94">
        <w:t>The province/territory supports local authorities in the development of pre-disaster recovery plans for their jurisdictions.</w:t>
      </w:r>
    </w:p>
    <w:p w14:paraId="5BDBBD86" w14:textId="77777777" w:rsidR="00CD0B94" w:rsidRPr="00CD0B94" w:rsidRDefault="00CD0B94" w:rsidP="00E87ECA">
      <w:pPr>
        <w:pStyle w:val="Heading4"/>
        <w:spacing w:before="0" w:after="160"/>
      </w:pPr>
      <w:r w:rsidRPr="00CD0B94">
        <w:t>Criteria</w:t>
      </w:r>
    </w:p>
    <w:p w14:paraId="1802AB9A" w14:textId="77777777" w:rsidR="00CD0B94" w:rsidRPr="00CD0B94" w:rsidRDefault="00CD0B94" w:rsidP="00E87ECA">
      <w:r w:rsidRPr="00CD0B94">
        <w:t>Training refers to courses, workshops, or other types of learning sessions. Training can be direct delivery (the province/territory trains local authorities), contracted out (the province/territory pays a service provider to train local authorities), or funding for training (the province/territory provides funding to local authorities to secure their own training). To qualify as training, the delivery must include some type of interaction and learning experience, and not just a document or how-to guide.</w:t>
      </w:r>
    </w:p>
    <w:p w14:paraId="397DF854" w14:textId="77777777" w:rsidR="00CD0B94" w:rsidRDefault="00CD0B94" w:rsidP="00E87ECA">
      <w:r w:rsidRPr="00CD0B94">
        <w:t xml:space="preserve">Dedicated funding refers to multi-year funding that is specific to the development of local pre-disaster recovery plans and not generic funding that can but does not have to be used </w:t>
      </w:r>
      <w:r w:rsidRPr="00CD0B94">
        <w:lastRenderedPageBreak/>
        <w:t>for planning. Dedicated funding can include provinces/territories fund-matching, contributing to, or topping up funding from another source (such as funding available through the Federation of Canadian Municipalities), however, other sources of funding cannot be the sole source of funding available to local authorities.</w:t>
      </w:r>
    </w:p>
    <w:p w14:paraId="47F604AA" w14:textId="7DC8DDFB" w:rsidR="005A65DE" w:rsidRPr="00CD0B94" w:rsidRDefault="005A65DE" w:rsidP="00E87ECA">
      <w:pPr>
        <w:pStyle w:val="Heading5"/>
        <w:spacing w:before="0" w:after="160"/>
        <w:jc w:val="center"/>
      </w:pPr>
      <w:r w:rsidRPr="00CD0B94">
        <w:t>Table 3.4: Supporting Local Authorities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5A65DE" w:rsidRPr="007555DD" w14:paraId="1D6B0D86" w14:textId="77777777" w:rsidTr="004963F4">
        <w:trPr>
          <w:trHeight w:val="66"/>
        </w:trPr>
        <w:tc>
          <w:tcPr>
            <w:tcW w:w="7645" w:type="dxa"/>
            <w:shd w:val="clear" w:color="auto" w:fill="D9D9D9" w:themeFill="background1" w:themeFillShade="D9"/>
            <w:vAlign w:val="center"/>
          </w:tcPr>
          <w:p w14:paraId="53183D1C" w14:textId="77777777" w:rsidR="005A65DE" w:rsidRPr="007555DD" w:rsidRDefault="005A65DE"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63ED3083" w14:textId="77777777" w:rsidR="005A65DE" w:rsidRPr="007555DD" w:rsidRDefault="005A65DE"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CD0B94" w:rsidRPr="00CD0B94" w14:paraId="3EEA5807"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D1ADB5" w14:textId="77777777" w:rsidR="00CD0B94" w:rsidRPr="00CD0B94" w:rsidRDefault="00CD0B94" w:rsidP="00E87ECA">
            <w:r w:rsidRPr="00CD0B94">
              <w:t>The province/territory provides dedicated training and funding for local authorities to develop pre-disaster recovery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01D8E4" w14:textId="77777777" w:rsidR="00CD0B94" w:rsidRPr="00CD0B94" w:rsidRDefault="00CD0B94" w:rsidP="00E87ECA">
            <w:r w:rsidRPr="00CD0B94">
              <w:t>8</w:t>
            </w:r>
          </w:p>
        </w:tc>
      </w:tr>
      <w:tr w:rsidR="00CD0B94" w:rsidRPr="00CD0B94" w14:paraId="3C0ADC00"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F3FDD09" w14:textId="77777777" w:rsidR="00CD0B94" w:rsidRPr="00CD0B94" w:rsidRDefault="00CD0B94" w:rsidP="00E87ECA">
            <w:r w:rsidRPr="00CD0B94">
              <w:t>The province/territory provides dedicated funding for local authorities to develop local pre-disaster recovery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0F7512" w14:textId="77777777" w:rsidR="00CD0B94" w:rsidRPr="00CD0B94" w:rsidRDefault="00CD0B94" w:rsidP="00E87ECA">
            <w:r w:rsidRPr="00CD0B94">
              <w:t>5</w:t>
            </w:r>
          </w:p>
        </w:tc>
      </w:tr>
      <w:tr w:rsidR="00CD0B94" w:rsidRPr="00CD0B94" w14:paraId="3A58D0DF"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7A6C924" w14:textId="77777777" w:rsidR="00CD0B94" w:rsidRPr="00CD0B94" w:rsidRDefault="00CD0B94" w:rsidP="00E87ECA">
            <w:r w:rsidRPr="00CD0B94">
              <w:t>The province/territory provides dedicated training to local authorities on how to develop and maintain local pre-disaster recovery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7F1517" w14:textId="77777777" w:rsidR="00CD0B94" w:rsidRPr="00CD0B94" w:rsidRDefault="00CD0B94" w:rsidP="00E87ECA">
            <w:r w:rsidRPr="00CD0B94">
              <w:t>3</w:t>
            </w:r>
          </w:p>
        </w:tc>
      </w:tr>
      <w:tr w:rsidR="00CD0B94" w:rsidRPr="00CD0B94" w14:paraId="6CC08101"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51D9B8" w14:textId="77777777" w:rsidR="00CD0B94" w:rsidRPr="00CD0B94" w:rsidRDefault="00CD0B94" w:rsidP="00E87ECA">
            <w:r w:rsidRPr="00CD0B94">
              <w:t>The province/territory does not provide dedicated support to local authorities to develop local disaster mitigation plans.</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1A5875" w14:textId="77777777" w:rsidR="00CD0B94" w:rsidRPr="00CD0B94" w:rsidRDefault="00CD0B94" w:rsidP="00E87ECA">
            <w:r w:rsidRPr="00CD0B94">
              <w:t>0</w:t>
            </w:r>
          </w:p>
        </w:tc>
      </w:tr>
      <w:tr w:rsidR="00CD0B94" w:rsidRPr="00CD0B94" w14:paraId="2126C37F" w14:textId="77777777" w:rsidTr="005A65D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21F0FC"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 such as a weblink</w:t>
            </w:r>
          </w:p>
        </w:tc>
      </w:tr>
    </w:tbl>
    <w:p w14:paraId="2D76571E" w14:textId="77777777" w:rsidR="005A65DE" w:rsidRDefault="005A65DE" w:rsidP="00E87ECA"/>
    <w:p w14:paraId="6726B1B5" w14:textId="69E91277" w:rsidR="00CD0B94" w:rsidRPr="00CD0B94" w:rsidRDefault="00CD0B94" w:rsidP="00E87ECA">
      <w:pPr>
        <w:pStyle w:val="Heading3"/>
        <w:spacing w:before="0" w:after="160"/>
      </w:pPr>
      <w:r w:rsidRPr="00CD0B94">
        <w:t>Local Authority Disaster Recovery Plans</w:t>
      </w:r>
    </w:p>
    <w:p w14:paraId="527C4D09" w14:textId="77777777" w:rsidR="00CD0B94" w:rsidRPr="00CD0B94" w:rsidRDefault="00CD0B94" w:rsidP="00E87ECA">
      <w:pPr>
        <w:pStyle w:val="Heading4"/>
        <w:spacing w:before="0" w:after="160"/>
      </w:pPr>
      <w:r w:rsidRPr="00CD0B94">
        <w:t>Activity</w:t>
      </w:r>
    </w:p>
    <w:p w14:paraId="05A43BC6" w14:textId="77777777" w:rsidR="00CD0B94" w:rsidRPr="00CD0B94" w:rsidRDefault="00CD0B94" w:rsidP="00E87ECA">
      <w:r w:rsidRPr="00CD0B94">
        <w:t>Local authorities in the province/territory each have a pre-disaster recovery plan that is current and publicly available.</w:t>
      </w:r>
    </w:p>
    <w:p w14:paraId="0895C4D1" w14:textId="77777777" w:rsidR="00CD0B94" w:rsidRPr="00CD0B94" w:rsidRDefault="00CD0B94" w:rsidP="00E87ECA">
      <w:pPr>
        <w:pStyle w:val="Heading4"/>
        <w:spacing w:before="0" w:after="160"/>
      </w:pPr>
      <w:r w:rsidRPr="00CD0B94">
        <w:t>Criteria</w:t>
      </w:r>
    </w:p>
    <w:p w14:paraId="74AC4E01" w14:textId="77777777" w:rsidR="00CD0B94" w:rsidRPr="00CD0B94" w:rsidRDefault="00CD0B94" w:rsidP="00E87ECA">
      <w:r w:rsidRPr="00CD0B94">
        <w:t>A local authority pre-disaster recovery plan is one that has been developed in advance, in which the jurisdiction documents (at a minimum): how it intends to approach disaster recovery, who will be involved (organizational structure), with whom it will communicate and how, and the financial resources available for recovery and how to access them. The pre-disaster recovery plan must be connected to both the local authority's emergency management plan/program and its official urban plan.</w:t>
      </w:r>
    </w:p>
    <w:p w14:paraId="11397287" w14:textId="77777777" w:rsidR="00CD0B94" w:rsidRPr="00CD0B94" w:rsidRDefault="00CD0B94" w:rsidP="00E87ECA">
      <w:r w:rsidRPr="00CD0B94">
        <w:lastRenderedPageBreak/>
        <w:t>For a plan to be considered current, it must be in current use (e.g., not archived or superseded) and have been issued and/or updated in the past four years.</w:t>
      </w:r>
    </w:p>
    <w:p w14:paraId="63EB69C0" w14:textId="77777777" w:rsidR="00CD0B94" w:rsidRDefault="00CD0B94" w:rsidP="00E87ECA">
      <w:r w:rsidRPr="00CD0B94">
        <w:t>For a plan to be considered publicly available, it must be available online in a digital format, free of charge, and can be located using a reasonable search.</w:t>
      </w:r>
    </w:p>
    <w:p w14:paraId="6D4170BD" w14:textId="13B8B56C" w:rsidR="005A65DE" w:rsidRPr="00CD0B94" w:rsidRDefault="005A65DE" w:rsidP="00E87ECA">
      <w:pPr>
        <w:pStyle w:val="Heading5"/>
        <w:spacing w:before="0" w:after="160"/>
        <w:jc w:val="center"/>
      </w:pPr>
      <w:r w:rsidRPr="00CD0B94">
        <w:t>Table 3.5: Local Authority Disaster Recovery Plans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645"/>
        <w:gridCol w:w="1705"/>
      </w:tblGrid>
      <w:tr w:rsidR="005A65DE" w:rsidRPr="007555DD" w14:paraId="44673B96" w14:textId="77777777" w:rsidTr="004963F4">
        <w:trPr>
          <w:trHeight w:val="66"/>
        </w:trPr>
        <w:tc>
          <w:tcPr>
            <w:tcW w:w="7645" w:type="dxa"/>
            <w:shd w:val="clear" w:color="auto" w:fill="D9D9D9" w:themeFill="background1" w:themeFillShade="D9"/>
            <w:vAlign w:val="center"/>
          </w:tcPr>
          <w:p w14:paraId="378A0735" w14:textId="77777777" w:rsidR="005A65DE" w:rsidRPr="007555DD" w:rsidRDefault="005A65DE" w:rsidP="00E87ECA">
            <w:pPr>
              <w:spacing w:after="160" w:line="278" w:lineRule="auto"/>
              <w:rPr>
                <w:b/>
                <w:bCs/>
              </w:rPr>
            </w:pPr>
            <w:r w:rsidRPr="007555DD">
              <w:rPr>
                <w:b/>
                <w:bCs/>
              </w:rPr>
              <w:t>Activity</w:t>
            </w:r>
          </w:p>
        </w:tc>
        <w:tc>
          <w:tcPr>
            <w:tcW w:w="1705" w:type="dxa"/>
            <w:shd w:val="clear" w:color="auto" w:fill="D9D9D9" w:themeFill="background1" w:themeFillShade="D9"/>
            <w:vAlign w:val="center"/>
          </w:tcPr>
          <w:p w14:paraId="45435D83" w14:textId="77777777" w:rsidR="005A65DE" w:rsidRPr="007555DD" w:rsidRDefault="005A65DE" w:rsidP="00E87ECA">
            <w:pPr>
              <w:spacing w:after="160" w:line="278" w:lineRule="auto"/>
              <w:rPr>
                <w:b/>
                <w:bCs/>
              </w:rPr>
            </w:pPr>
            <w:r w:rsidRPr="007555DD">
              <w:rPr>
                <w:b/>
                <w:bCs/>
              </w:rPr>
              <w:t># of Credits</w:t>
            </w:r>
          </w:p>
        </w:tc>
      </w:tr>
    </w:tbl>
    <w:tbl>
      <w:tblPr>
        <w:tblW w:w="5009" w:type="pct"/>
        <w:tblInd w:w="-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50"/>
        <w:gridCol w:w="1711"/>
      </w:tblGrid>
      <w:tr w:rsidR="00CD0B94" w:rsidRPr="00CD0B94" w14:paraId="1C711D92"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7860C3" w14:textId="77777777" w:rsidR="00CD0B94" w:rsidRPr="00CD0B94" w:rsidRDefault="00CD0B94" w:rsidP="00E87ECA">
            <w:r w:rsidRPr="00CD0B94">
              <w:t>At least 75% of local authorities have a current pre-disaster recovery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24D7A2" w14:textId="77777777" w:rsidR="00CD0B94" w:rsidRPr="00CD0B94" w:rsidRDefault="00CD0B94" w:rsidP="00E87ECA">
            <w:r w:rsidRPr="00CD0B94">
              <w:t>15</w:t>
            </w:r>
          </w:p>
        </w:tc>
      </w:tr>
      <w:tr w:rsidR="00CD0B94" w:rsidRPr="00CD0B94" w14:paraId="2C12BC8C"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883AF6" w14:textId="77777777" w:rsidR="00CD0B94" w:rsidRPr="00CD0B94" w:rsidRDefault="00CD0B94" w:rsidP="00E87ECA">
            <w:r w:rsidRPr="00CD0B94">
              <w:t>At least 50% of local authorities have a current pre-disaster recovery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4ACFCD" w14:textId="77777777" w:rsidR="00CD0B94" w:rsidRPr="00CD0B94" w:rsidRDefault="00CD0B94" w:rsidP="00E87ECA">
            <w:r w:rsidRPr="00CD0B94">
              <w:t>10</w:t>
            </w:r>
          </w:p>
        </w:tc>
      </w:tr>
      <w:tr w:rsidR="00CD0B94" w:rsidRPr="00CD0B94" w14:paraId="3BC0EE71"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D80EDD" w14:textId="77777777" w:rsidR="00CD0B94" w:rsidRPr="00CD0B94" w:rsidRDefault="00CD0B94" w:rsidP="00E87ECA">
            <w:r w:rsidRPr="00CD0B94">
              <w:t>At least 25% of local authorities have a current pre-disaster recovery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BF237B" w14:textId="77777777" w:rsidR="00CD0B94" w:rsidRPr="00CD0B94" w:rsidRDefault="00CD0B94" w:rsidP="00E87ECA">
            <w:r w:rsidRPr="00CD0B94">
              <w:t>5</w:t>
            </w:r>
          </w:p>
        </w:tc>
      </w:tr>
      <w:tr w:rsidR="00CD0B94" w:rsidRPr="00CD0B94" w14:paraId="3C0D7B10"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8826D6" w14:textId="77777777" w:rsidR="00CD0B94" w:rsidRPr="00CD0B94" w:rsidRDefault="00CD0B94" w:rsidP="00E87ECA">
            <w:r w:rsidRPr="00CD0B94">
              <w:t>The province/territory has a system for and actively tracks how many local authorities have a current pre-disaster recovery plan.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46CC03" w14:textId="77777777" w:rsidR="00CD0B94" w:rsidRPr="00CD0B94" w:rsidRDefault="00CD0B94" w:rsidP="00E87ECA">
            <w:r w:rsidRPr="00CD0B94">
              <w:t>2</w:t>
            </w:r>
          </w:p>
        </w:tc>
      </w:tr>
      <w:tr w:rsidR="00CD0B94" w:rsidRPr="00CD0B94" w14:paraId="3EB80965" w14:textId="77777777" w:rsidTr="005A65DE">
        <w:tc>
          <w:tcPr>
            <w:tcW w:w="40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36E4D5" w14:textId="77777777" w:rsidR="00CD0B94" w:rsidRPr="00CD0B94" w:rsidRDefault="00CD0B94" w:rsidP="00E87ECA">
            <w:r w:rsidRPr="00CD0B94">
              <w:t>The number of local authorities with a pre-disaster recovery plan is unknown.</w:t>
            </w:r>
          </w:p>
        </w:tc>
        <w:tc>
          <w:tcPr>
            <w:tcW w:w="91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F5BF49" w14:textId="77777777" w:rsidR="00CD0B94" w:rsidRPr="00CD0B94" w:rsidRDefault="00CD0B94" w:rsidP="00E87ECA">
            <w:r w:rsidRPr="00CD0B94">
              <w:t>0</w:t>
            </w:r>
          </w:p>
        </w:tc>
      </w:tr>
      <w:tr w:rsidR="00CD0B94" w:rsidRPr="00CD0B94" w14:paraId="6D8A8A96" w14:textId="77777777" w:rsidTr="005A65DE">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4D322C" w14:textId="77777777" w:rsidR="00CD0B94" w:rsidRPr="00CD0B94" w:rsidRDefault="00CD0B94" w:rsidP="00E87ECA">
            <w:r w:rsidRPr="00CD0B94">
              <w:rPr>
                <w:b/>
                <w:bCs/>
              </w:rPr>
              <w:t>Note:</w:t>
            </w:r>
            <w:r w:rsidRPr="00CD0B94">
              <w:t xml:space="preserve"> Provide a brief description of how the province/territory meets </w:t>
            </w:r>
            <w:proofErr w:type="gramStart"/>
            <w:r w:rsidRPr="00CD0B94">
              <w:t>this criteria</w:t>
            </w:r>
            <w:proofErr w:type="gramEnd"/>
            <w:r w:rsidRPr="00CD0B94">
              <w:t xml:space="preserve"> and provide supporting evidence, such as a weblink</w:t>
            </w:r>
          </w:p>
        </w:tc>
      </w:tr>
    </w:tbl>
    <w:p w14:paraId="280BAE25" w14:textId="77777777" w:rsidR="005A65DE" w:rsidRDefault="005A65DE" w:rsidP="00E87ECA"/>
    <w:p w14:paraId="76F39D11" w14:textId="4765D0E5" w:rsidR="00CD0B94" w:rsidRPr="00CD0B94" w:rsidRDefault="00CD0B94" w:rsidP="00E87ECA">
      <w:r w:rsidRPr="00CD0B94">
        <w:t>Calculate the total number of credits for this section.</w:t>
      </w:r>
    </w:p>
    <w:sectPr w:rsidR="00CD0B94" w:rsidRPr="00CD0B9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724D" w14:textId="77777777" w:rsidR="00247F4D" w:rsidRDefault="00247F4D" w:rsidP="00E76000">
      <w:pPr>
        <w:spacing w:after="0" w:line="240" w:lineRule="auto"/>
      </w:pPr>
      <w:r>
        <w:separator/>
      </w:r>
    </w:p>
  </w:endnote>
  <w:endnote w:type="continuationSeparator" w:id="0">
    <w:p w14:paraId="2F85A1B0" w14:textId="77777777" w:rsidR="00247F4D" w:rsidRDefault="00247F4D" w:rsidP="00E7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1D70" w14:textId="6A7957C5" w:rsidR="00E76000" w:rsidRDefault="00E76000">
    <w:pPr>
      <w:pStyle w:val="Footer"/>
    </w:pPr>
    <w:r>
      <w:rPr>
        <w:noProof/>
      </w:rPr>
      <mc:AlternateContent>
        <mc:Choice Requires="wps">
          <w:drawing>
            <wp:anchor distT="0" distB="0" distL="0" distR="0" simplePos="0" relativeHeight="251662336" behindDoc="0" locked="0" layoutInCell="1" allowOverlap="1" wp14:anchorId="4C291AC6" wp14:editId="6E2F66D5">
              <wp:simplePos x="635" y="635"/>
              <wp:positionH relativeFrom="page">
                <wp:align>right</wp:align>
              </wp:positionH>
              <wp:positionV relativeFrom="page">
                <wp:align>bottom</wp:align>
              </wp:positionV>
              <wp:extent cx="1634490" cy="370205"/>
              <wp:effectExtent l="0" t="0" r="0" b="0"/>
              <wp:wrapNone/>
              <wp:docPr id="2140934762"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2B1AB73A" w14:textId="3AF40503"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291AC6" id="_x0000_t202" coordsize="21600,21600" o:spt="202" path="m,l,21600r21600,l21600,xe">
              <v:stroke joinstyle="miter"/>
              <v:path gradientshapeok="t" o:connecttype="rect"/>
            </v:shapetype>
            <v:shape id="Text Box 5" o:spid="_x0000_s1028" type="#_x0000_t202" alt="Unclassified | Non classifié" style="position:absolute;margin-left:88.7pt;margin-top:0;width:128.7pt;height:29.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XFAIAACIEAAAOAAAAZHJzL2Uyb0RvYy54bWysU99v2jAQfp+0/8Hy+0ig0L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q+mk5vMcQxdvU1n+SzWCa7/G2dD98FaBKNkjqkJaHF&#10;Dmsf+tQhJTYzsGqUStQo85cDa0ZPdhkxWqHbdqSpSjoZxt9CdcStHPSEe8tXDbZeMx+emUOGcVpU&#10;bXjCQypoSwoni5Ia3K//+WM+Ao9RSlpUTEkNSpoS9cMgIVFcg+GSMZlN8xzd23Qb3+azeDN7fQ8o&#10;xjG+C8uTiV4X1GBKB/oVRb2M3TDEDMeeJd0O5n3o9YuPgovlMiWhmCwLa7OxPJaOmEVAX7pX5uwJ&#10;9YB8PcKgKVa8Ab/PjX96u9wHpCAxE/Ht0TzBjkJM3J4eTVT6n/eUdXnai98AAAD//wMAUEsDBBQA&#10;BgAIAAAAIQBxwm4A3QAAAAQBAAAPAAAAZHJzL2Rvd25yZXYueG1sTI9BS8NAEIXvgv9hGcGL2I21&#10;jSVmU7TgQZCCVfQ6yY5J6O5s2N2m6b939aKXgcd7vPdNuZ6sESP50DtWcDPLQBA3TvfcKnh/e7pe&#10;gQgRWaNxTApOFGBdnZ+VWGh35Fcad7EVqYRDgQq6GIdCytB0ZDHM3ECcvC/nLcYkfSu1x2Mqt0bO&#10;syyXFntOCx0OtOmo2e8OVsHjVfioX/b+9LxduPxz3ORm2OZKXV5MD/cgIk3xLww/+AkdqsRUuwPr&#10;IIyC9Ej8vcmbL+8WIGoFy9UtyKqU/+GrbwAAAP//AwBQSwECLQAUAAYACAAAACEAtoM4kv4AAADh&#10;AQAAEwAAAAAAAAAAAAAAAAAAAAAAW0NvbnRlbnRfVHlwZXNdLnhtbFBLAQItABQABgAIAAAAIQA4&#10;/SH/1gAAAJQBAAALAAAAAAAAAAAAAAAAAC8BAABfcmVscy8ucmVsc1BLAQItABQABgAIAAAAIQDw&#10;+7bXFAIAACIEAAAOAAAAAAAAAAAAAAAAAC4CAABkcnMvZTJvRG9jLnhtbFBLAQItABQABgAIAAAA&#10;IQBxwm4A3QAAAAQBAAAPAAAAAAAAAAAAAAAAAG4EAABkcnMvZG93bnJldi54bWxQSwUGAAAAAAQA&#10;BADzAAAAeAUAAAAA&#10;" filled="f" stroked="f">
              <v:textbox style="mso-fit-shape-to-text:t" inset="0,0,20pt,15pt">
                <w:txbxContent>
                  <w:p w14:paraId="2B1AB73A" w14:textId="3AF40503"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2E31" w14:textId="3E8B7584" w:rsidR="00E76000" w:rsidRDefault="00E76000">
    <w:pPr>
      <w:pStyle w:val="Footer"/>
    </w:pPr>
    <w:r>
      <w:rPr>
        <w:noProof/>
      </w:rPr>
      <mc:AlternateContent>
        <mc:Choice Requires="wps">
          <w:drawing>
            <wp:anchor distT="0" distB="0" distL="0" distR="0" simplePos="0" relativeHeight="251663360" behindDoc="0" locked="0" layoutInCell="1" allowOverlap="1" wp14:anchorId="07282E43" wp14:editId="1642E252">
              <wp:simplePos x="914400" y="9420225"/>
              <wp:positionH relativeFrom="page">
                <wp:align>right</wp:align>
              </wp:positionH>
              <wp:positionV relativeFrom="page">
                <wp:align>bottom</wp:align>
              </wp:positionV>
              <wp:extent cx="1634490" cy="370205"/>
              <wp:effectExtent l="0" t="0" r="0" b="0"/>
              <wp:wrapNone/>
              <wp:docPr id="1584048866"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7F117096" w14:textId="5B191AE2"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282E43" id="_x0000_t202" coordsize="21600,21600" o:spt="202" path="m,l,21600r21600,l21600,xe">
              <v:stroke joinstyle="miter"/>
              <v:path gradientshapeok="t" o:connecttype="rect"/>
            </v:shapetype>
            <v:shape id="Text Box 6" o:spid="_x0000_s1029" type="#_x0000_t202" alt="Unclassified | Non classifié" style="position:absolute;margin-left:88.7pt;margin-top:0;width:128.7pt;height:29.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dfEwIAACIEAAAOAAAAZHJzL2Uyb0RvYy54bWysU99v2jAQfp+0/8Hy+0ig0L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q+mk5vMcQxdvU1n+SzWCa7/G2dD98FaBKNkjqkJaHF&#10;Dmsf+tQhJTYzsGqUStQo85cDa0ZPdhkxWqHbdqSpsPkw/haqI27loCfcW75qsPWa+fDMHDKM06Jq&#10;wxMeUkFbUjhZlNTgfv3PH/MReIxS0qJiSmpQ0pSoHwYJieIaDJeMyWya5+jeptv4Np/Fm9nre0Ax&#10;jvFdWJ5M9LqgBlM60K8o6mXshiFmOPYs6XYw70OvX3wUXCyXKQnFZFlYm43lsXTELAL60r0yZ0+o&#10;B+TrEQZNseIN+H1u/NPb5T4gBYmZiG+P5gl2FGLi9vRootL/vKesy9Ne/AYAAP//AwBQSwMEFAAG&#10;AAgAAAAhAHHCbgDdAAAABAEAAA8AAABkcnMvZG93bnJldi54bWxMj0FLw0AQhe+C/2EZwYvYjbWN&#10;JWZTtOBBkIJV9DrJjkno7mzY3abpv3f1opeBx3u89025nqwRI/nQO1ZwM8tAEDdO99wqeH97ul6B&#10;CBFZo3FMCk4UYF2dn5VYaHfkVxp3sRWphEOBCroYh0LK0HRkMczcQJy8L+ctxiR9K7XHYyq3Rs6z&#10;LJcWe04LHQ606ajZ7w5WweNV+Khf9v70vF24/HPc5GbY5kpdXkwP9yAiTfEvDD/4CR2qxFS7A+sg&#10;jIL0SPy9yZsv7xYgagXL1S3IqpT/4atvAAAA//8DAFBLAQItABQABgAIAAAAIQC2gziS/gAAAOEB&#10;AAATAAAAAAAAAAAAAAAAAAAAAABbQ29udGVudF9UeXBlc10ueG1sUEsBAi0AFAAGAAgAAAAhADj9&#10;If/WAAAAlAEAAAsAAAAAAAAAAAAAAAAALwEAAF9yZWxzLy5yZWxzUEsBAi0AFAAGAAgAAAAhAAB0&#10;N18TAgAAIgQAAA4AAAAAAAAAAAAAAAAALgIAAGRycy9lMm9Eb2MueG1sUEsBAi0AFAAGAAgAAAAh&#10;AHHCbgDdAAAABAEAAA8AAAAAAAAAAAAAAAAAbQQAAGRycy9kb3ducmV2LnhtbFBLBQYAAAAABAAE&#10;APMAAAB3BQAAAAA=&#10;" filled="f" stroked="f">
              <v:textbox style="mso-fit-shape-to-text:t" inset="0,0,20pt,15pt">
                <w:txbxContent>
                  <w:p w14:paraId="7F117096" w14:textId="5B191AE2"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B342" w14:textId="401B8504" w:rsidR="00E76000" w:rsidRDefault="00E76000">
    <w:pPr>
      <w:pStyle w:val="Footer"/>
    </w:pPr>
    <w:r>
      <w:rPr>
        <w:noProof/>
      </w:rPr>
      <mc:AlternateContent>
        <mc:Choice Requires="wps">
          <w:drawing>
            <wp:anchor distT="0" distB="0" distL="0" distR="0" simplePos="0" relativeHeight="251661312" behindDoc="0" locked="0" layoutInCell="1" allowOverlap="1" wp14:anchorId="7ACABD3F" wp14:editId="3776605A">
              <wp:simplePos x="635" y="635"/>
              <wp:positionH relativeFrom="page">
                <wp:align>right</wp:align>
              </wp:positionH>
              <wp:positionV relativeFrom="page">
                <wp:align>bottom</wp:align>
              </wp:positionV>
              <wp:extent cx="1634490" cy="370205"/>
              <wp:effectExtent l="0" t="0" r="0" b="0"/>
              <wp:wrapNone/>
              <wp:docPr id="121660185"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3D493601" w14:textId="3CA9A83E"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CABD3F" id="_x0000_t202" coordsize="21600,21600" o:spt="202" path="m,l,21600r21600,l21600,xe">
              <v:stroke joinstyle="miter"/>
              <v:path gradientshapeok="t" o:connecttype="rect"/>
            </v:shapetype>
            <v:shape id="Text Box 4" o:spid="_x0000_s1031" type="#_x0000_t202" alt="Unclassified | Non classifié" style="position:absolute;margin-left:88.7pt;margin-top:0;width:128.7pt;height:29.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DaEgIAACIEAAAOAAAAZHJzL2Uyb0RvYy54bWysU01v2zAMvQ/YfxB0X+ykSdcacYqsRYYB&#10;QVsgHXpWZCk2YIkCpcTOfv0o5Wvrdip6kSmS5sd7T9O73rRsp9A3YEs+HOScKSuhauym5D9fFl9u&#10;OPNB2Eq0YFXJ98rzu9nnT9POFWoENbSVQkZFrC86V/I6BFdkmZe1MsIPwClLQQ1oRKArbrIKRUfV&#10;TZuN8vw66wArhyCV9+R9OAT5LNXXWsnwpLVXgbUlp9lCOjGd63hms6koNihc3cjjGOIdUxjRWGp6&#10;LvUggmBbbP4pZRqJ4EGHgQSTgdaNVGkH2maYv9lmVQun0i4EjndnmPzHlZWPu5V7Rhb6b9ATgRGQ&#10;zvnCkzPu02s08UuTMooThPszbKoPTMafrq/G41sKSYpdfc1H+SSWyS5/O/ThuwLDolFyJFoSWmK3&#10;9OGQekqJzSwsmrZN1LT2LwfVjJ7sMmK0Qr/uWVOVPPWNnjVUe9oK4UC4d3LRUOul8OFZIDFM05Jq&#10;wxMduoWu5HC0OKsBf/3PH/MJeIpy1pFiSm5J0py1PywREsV1MjAZo8k4z8m9TrfhbT6JN7s190Bi&#10;HNK7cDKZ5MXQnkyNYF5J1PPYjULCSupZ8vXJvA8H/dKjkGo+T0kkJifC0q6cjKUjZhHQl/5VoDui&#10;HoivRzhpShRvwD/kxj+9m28DUZCYuaB5hJ2EmLg9Ppqo9D/vKevytGe/AQAA//8DAFBLAwQUAAYA&#10;CAAAACEAccJuAN0AAAAEAQAADwAAAGRycy9kb3ducmV2LnhtbEyPQUvDQBCF74L/YRnBi9iNtY0l&#10;ZlO04EGQglX0OsmOSejubNjdpum/d/Wil4HHe7z3TbmerBEj+dA7VnAzy0AQN0733Cp4f3u6XoEI&#10;EVmjcUwKThRgXZ2flVhod+RXGnexFamEQ4EKuhiHQsrQdGQxzNxAnLwv5y3GJH0rtcdjKrdGzrMs&#10;lxZ7TgsdDrTpqNnvDlbB41X4qF/2/vS8Xbj8c9zkZtjmSl1eTA/3ICJN8S8MP/gJHarEVLsD6yCM&#10;gvRI/L3Jmy/vFiBqBcvVLciqlP/hq28AAAD//wMAUEsBAi0AFAAGAAgAAAAhALaDOJL+AAAA4QEA&#10;ABMAAAAAAAAAAAAAAAAAAAAAAFtDb250ZW50X1R5cGVzXS54bWxQSwECLQAUAAYACAAAACEAOP0h&#10;/9YAAACUAQAACwAAAAAAAAAAAAAAAAAvAQAAX3JlbHMvLnJlbHNQSwECLQAUAAYACAAAACEAoljQ&#10;2hICAAAiBAAADgAAAAAAAAAAAAAAAAAuAgAAZHJzL2Uyb0RvYy54bWxQSwECLQAUAAYACAAAACEA&#10;ccJuAN0AAAAEAQAADwAAAAAAAAAAAAAAAABsBAAAZHJzL2Rvd25yZXYueG1sUEsFBgAAAAAEAAQA&#10;8wAAAHYFAAAAAA==&#10;" filled="f" stroked="f">
              <v:textbox style="mso-fit-shape-to-text:t" inset="0,0,20pt,15pt">
                <w:txbxContent>
                  <w:p w14:paraId="3D493601" w14:textId="3CA9A83E"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1009" w14:textId="77777777" w:rsidR="00247F4D" w:rsidRDefault="00247F4D" w:rsidP="00E76000">
      <w:pPr>
        <w:spacing w:after="0" w:line="240" w:lineRule="auto"/>
      </w:pPr>
      <w:r>
        <w:separator/>
      </w:r>
    </w:p>
  </w:footnote>
  <w:footnote w:type="continuationSeparator" w:id="0">
    <w:p w14:paraId="2F9CE7EC" w14:textId="77777777" w:rsidR="00247F4D" w:rsidRDefault="00247F4D" w:rsidP="00E7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386D" w14:textId="33ADCA77" w:rsidR="00E76000" w:rsidRDefault="00E76000">
    <w:pPr>
      <w:pStyle w:val="Header"/>
    </w:pPr>
    <w:r>
      <w:rPr>
        <w:noProof/>
      </w:rPr>
      <mc:AlternateContent>
        <mc:Choice Requires="wps">
          <w:drawing>
            <wp:anchor distT="0" distB="0" distL="0" distR="0" simplePos="0" relativeHeight="251659264" behindDoc="0" locked="0" layoutInCell="1" allowOverlap="1" wp14:anchorId="2D3CFB7E" wp14:editId="48CF3F73">
              <wp:simplePos x="635" y="635"/>
              <wp:positionH relativeFrom="page">
                <wp:align>right</wp:align>
              </wp:positionH>
              <wp:positionV relativeFrom="page">
                <wp:align>top</wp:align>
              </wp:positionV>
              <wp:extent cx="1634490" cy="370205"/>
              <wp:effectExtent l="0" t="0" r="0" b="10795"/>
              <wp:wrapNone/>
              <wp:docPr id="8088639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21B0668F" w14:textId="075B3220"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3CFB7E" id="_x0000_t202" coordsize="21600,21600" o:spt="202" path="m,l,21600r21600,l21600,xe">
              <v:stroke joinstyle="miter"/>
              <v:path gradientshapeok="t" o:connecttype="rect"/>
            </v:shapetype>
            <v:shape id="Text Box 2" o:spid="_x0000_s1026" type="#_x0000_t202" alt="Unclassified | Non classifié" style="position:absolute;margin-left:88.7pt;margin-top:0;width:128.7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nlDgIAABsEAAAOAAAAZHJzL2Uyb0RvYy54bWysU1tv2yAUfp+0/4B4X+ykSddacaqsVaZJ&#10;UVspnfpMMMSWgIOAxM5+/Q7YSbZuT1Vf4Nw4l+98zO86rchBON+AKel4lFMiDIeqMbuS/nxZfbmh&#10;xAdmKqbAiJIehad3i8+f5q0txARqUJVwBJMYX7S2pHUItsgyz2uhmR+BFQadEpxmAVW3yyrHWsyu&#10;VTbJ8+usBVdZB1x4j9aH3kkXKb+UgocnKb0IRJUUewvpdOncxjNbzFmxc8zWDR/aYO/oQrPGYNFz&#10;qgcWGNm75p9UuuEOPMgw4qAzkLLhIs2A04zzN9NsamZFmgXB8fYMk/+4tPzxsLHPjoTuG3S4wAhI&#10;a33h0Rjn6aTT8cZOCfoRwuMZNtEFwuOj66vp9BZdHH1XX/NJPotpsstr63z4LkCTKJTU4VoSWuyw&#10;9qEPPYXEYgZWjVJpNcr8ZcCc0ZJdWoxS6Lbd0PcWqiOO46DftLd81WDNNfPhmTlcLbaJdA1PeEgF&#10;bUlhkCipwf36nz3GI+LopaRFqpTUIJcpUT8MbiKyKgnj23yWo+aSNplN86htT0Fmr+8BWTjGD2F5&#10;EmNwUCdROtCvyOZlrIYuZjjWLGk4ifehJy7+Bi6WyxSELLIsrM3G8pg6ghWRfOlembMD3AEX9Qgn&#10;MrHiDep9bHzp7XIfEPu0kghsj+aANzIwLXX4LZHif+op6vKnF78BAAD//wMAUEsDBBQABgAIAAAA&#10;IQAA5c7D3gAAAAQBAAAPAAAAZHJzL2Rvd25yZXYueG1sTI/BTsMwEETvSPyDtUhcEHVoKYQQp0JI&#10;leiBA4UcuDnxNomI15Htpsnfs3CBy0qjGc28zTeT7cWIPnSOFNwsEhBItTMdNQo+3rfXKYgQNRnd&#10;O0IFMwbYFOdnuc6MO9EbjvvYCC6hkGkFbYxDJmWoW7Q6LNyAxN7BeasjS99I4/WJy20vl0lyJ63u&#10;iBdaPeBzi/XX/mgVlJO/et0+7F7m6rMb52RXrtJDqdTlxfT0CCLiFP/C8IPP6FAwU+WOZILoFfAj&#10;8feyt1zf34KoFKzTFcgil//hi28AAAD//wMAUEsBAi0AFAAGAAgAAAAhALaDOJL+AAAA4QEAABMA&#10;AAAAAAAAAAAAAAAAAAAAAFtDb250ZW50X1R5cGVzXS54bWxQSwECLQAUAAYACAAAACEAOP0h/9YA&#10;AACUAQAACwAAAAAAAAAAAAAAAAAvAQAAX3JlbHMvLnJlbHNQSwECLQAUAAYACAAAACEAanuZ5Q4C&#10;AAAbBAAADgAAAAAAAAAAAAAAAAAuAgAAZHJzL2Uyb0RvYy54bWxQSwECLQAUAAYACAAAACEAAOXO&#10;w94AAAAEAQAADwAAAAAAAAAAAAAAAABoBAAAZHJzL2Rvd25yZXYueG1sUEsFBgAAAAAEAAQA8wAA&#10;AHMFAAAAAA==&#10;" filled="f" stroked="f">
              <v:textbox style="mso-fit-shape-to-text:t" inset="0,15pt,20pt,0">
                <w:txbxContent>
                  <w:p w14:paraId="21B0668F" w14:textId="075B3220"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AFA7" w14:textId="1B5CE0B3" w:rsidR="00E76000" w:rsidRDefault="00E76000">
    <w:pPr>
      <w:pStyle w:val="Header"/>
    </w:pPr>
    <w:r>
      <w:rPr>
        <w:noProof/>
      </w:rPr>
      <mc:AlternateContent>
        <mc:Choice Requires="wps">
          <w:drawing>
            <wp:anchor distT="0" distB="0" distL="0" distR="0" simplePos="0" relativeHeight="251660288" behindDoc="0" locked="0" layoutInCell="1" allowOverlap="1" wp14:anchorId="5524F603" wp14:editId="0E4B300B">
              <wp:simplePos x="914400" y="457200"/>
              <wp:positionH relativeFrom="page">
                <wp:align>right</wp:align>
              </wp:positionH>
              <wp:positionV relativeFrom="page">
                <wp:align>top</wp:align>
              </wp:positionV>
              <wp:extent cx="1634490" cy="370205"/>
              <wp:effectExtent l="0" t="0" r="0" b="10795"/>
              <wp:wrapNone/>
              <wp:docPr id="1631941344"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07025E19" w14:textId="00E08A67"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24F603" id="_x0000_t202" coordsize="21600,21600" o:spt="202" path="m,l,21600r21600,l21600,xe">
              <v:stroke joinstyle="miter"/>
              <v:path gradientshapeok="t" o:connecttype="rect"/>
            </v:shapetype>
            <v:shape id="Text Box 3" o:spid="_x0000_s1027" type="#_x0000_t202" alt="Unclassified | Non classifié" style="position:absolute;margin-left:88.7pt;margin-top:0;width:128.7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FxEQIAACIEAAAOAAAAZHJzL2Uyb0RvYy54bWysU01v2zAMvQ/YfxB0X+ykSbcacYqsRYYB&#10;RVsgHXpWZDk2IImCxMTOfv0oOR9dt9Owi0yKND/ee5rf9kazvfKhBVvy8SjnTFkJVWu3Jf/xsvr0&#10;hbOAwlZCg1UlP6jAbxcfP8w7V6gJNKAr5RkVsaHoXMkbRFdkWZCNMiKMwClLwRq8EUiu32aVFx1V&#10;Nzqb5Pl11oGvnAepQqDb+yHIF6l+XSuJT3UdFDJdcpoN0+nTuYlntpiLYuuFa1p5HEP8wxRGtJaa&#10;nkvdCxRs59s/SplWeghQ40iCyaCuW6nSDrTNOH+3zboRTqVdCJzgzjCF/1dWPu7X7tkz7L9CTwRG&#10;QDoXikCXcZ++9iZ+aVJGcYLwcIZN9chk/On6ajq9oZCk2NXnfJLPYpns8rfzAb8pMCwaJfdES0JL&#10;7B8CDqmnlNjMwqrVOlGj7W8XVDPeZJcRo4X9pmdt9Wb8DVQH2srDQHhwctVS6wcR8Fl4YpimJdXi&#10;Ex21hq7kcLQ4a8D//Nt9zCfgKcpZR4opuSVJc6a/WyIkiisZ45t8lpPnkzeZTfPobU5JdmfugMQ4&#10;pnfhZDJjMuqTWXswryTqZexGIWEl9Sw5nsw7HPRLj0Kq5TIlkZicwAe7djKWjphFQF/6V+HdEXUk&#10;vh7hpClRvAN/yI1/BrfcIVGQmIn4DmgeYSchJm6PjyYq/a2fsi5Pe/ELAAD//wMAUEsDBBQABgAI&#10;AAAAIQAA5c7D3gAAAAQBAAAPAAAAZHJzL2Rvd25yZXYueG1sTI/BTsMwEETvSPyDtUhcEHVoKYQQ&#10;p0JIleiBA4UcuDnxNomI15Htpsnfs3CBy0qjGc28zTeT7cWIPnSOFNwsEhBItTMdNQo+3rfXKYgQ&#10;NRndO0IFMwbYFOdnuc6MO9EbjvvYCC6hkGkFbYxDJmWoW7Q6LNyAxN7BeasjS99I4/WJy20vl0ly&#10;J63uiBdaPeBzi/XX/mgVlJO/et0+7F7m6rMb52RXrtJDqdTlxfT0CCLiFP/C8IPP6FAwU+WOZILo&#10;FfAj8feyt1zf34KoFKzTFcgil//hi28AAAD//wMAUEsBAi0AFAAGAAgAAAAhALaDOJL+AAAA4QEA&#10;ABMAAAAAAAAAAAAAAAAAAAAAAFtDb250ZW50X1R5cGVzXS54bWxQSwECLQAUAAYACAAAACEAOP0h&#10;/9YAAACUAQAACwAAAAAAAAAAAAAAAAAvAQAAX3JlbHMvLnJlbHNQSwECLQAUAAYACAAAACEAlGYh&#10;cRECAAAiBAAADgAAAAAAAAAAAAAAAAAuAgAAZHJzL2Uyb0RvYy54bWxQSwECLQAUAAYACAAAACEA&#10;AOXOw94AAAAEAQAADwAAAAAAAAAAAAAAAABrBAAAZHJzL2Rvd25yZXYueG1sUEsFBgAAAAAEAAQA&#10;8wAAAHYFAAAAAA==&#10;" filled="f" stroked="f">
              <v:textbox style="mso-fit-shape-to-text:t" inset="0,15pt,20pt,0">
                <w:txbxContent>
                  <w:p w14:paraId="07025E19" w14:textId="00E08A67"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0634" w14:textId="5C60D779" w:rsidR="00E76000" w:rsidRDefault="00E76000">
    <w:pPr>
      <w:pStyle w:val="Header"/>
    </w:pPr>
    <w:r>
      <w:rPr>
        <w:noProof/>
      </w:rPr>
      <mc:AlternateContent>
        <mc:Choice Requires="wps">
          <w:drawing>
            <wp:anchor distT="0" distB="0" distL="0" distR="0" simplePos="0" relativeHeight="251658240" behindDoc="0" locked="0" layoutInCell="1" allowOverlap="1" wp14:anchorId="0A37214A" wp14:editId="1712D1F2">
              <wp:simplePos x="635" y="635"/>
              <wp:positionH relativeFrom="page">
                <wp:align>right</wp:align>
              </wp:positionH>
              <wp:positionV relativeFrom="page">
                <wp:align>top</wp:align>
              </wp:positionV>
              <wp:extent cx="1634490" cy="370205"/>
              <wp:effectExtent l="0" t="0" r="0" b="10795"/>
              <wp:wrapNone/>
              <wp:docPr id="38088806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3AEFE9F9" w14:textId="20EFD4C5"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37214A" id="_x0000_t202" coordsize="21600,21600" o:spt="202" path="m,l,21600r21600,l21600,xe">
              <v:stroke joinstyle="miter"/>
              <v:path gradientshapeok="t" o:connecttype="rect"/>
            </v:shapetype>
            <v:shape id="Text Box 1" o:spid="_x0000_s1030" type="#_x0000_t202" alt="Unclassified | Non classifié" style="position:absolute;margin-left:88.7pt;margin-top:0;width:128.7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W2EwIAACIEAAAOAAAAZHJzL2Uyb0RvYy54bWysU99v2jAQfp+0/8Hy+0ig0LURoWKtmCah&#10;thKd+mwcm0SyfZZtSNhfv7NDYOv2VPXFufNd7sf3fZ7fdVqRg3C+AVPS8SinRBgOVWN2Jf35svpy&#10;Q4kPzFRMgRElPQpP7xafP81bW4gJ1KAq4QgWMb5obUnrEGyRZZ7XQjM/AisMBiU4zQK6bpdVjrVY&#10;XatskufXWQuusg648B5vH/ogXaT6UgoenqT0IhBVUpwtpNOlcxvPbDFnxc4xWzf8NAZ7xxSaNQab&#10;nks9sMDI3jX/lNINd+BBhhEHnYGUDRdpB9xmnL/ZZlMzK9IuCI63Z5j8x5Xlj4eNfXYkdN+gQwIj&#10;IK31hcfLuE8nnY5fnJRgHCE8nmETXSA8/nR9NZ3eYohj7OprPslnsUx2+ds6H74L0CQaJXVIS0KL&#10;HdY+9KlDSmxmYNUolahR5q8LrBlvssuI0QrdtiNNVdLpMP4WqiNu5aAn3Fu+arD1mvnwzBwyjNOi&#10;asMTHlJBW1I4WZTU4H797z7mI/AYpaRFxZTUoKQpUT8MEhLFlYzxbT7L0XPJm8ymefS2Q5LZ63tA&#10;MY7xXViezJgc1GBKB/oVRb2M3TDEDMeeJQ2DeR96/eKj4GK5TEkoJsvC2mwsj6UjZhHQl+6VOXtC&#10;PSBfjzBoihVvwO9z45/eLvcBKUjMRHx7NE+woxATt6dHE5X+p5+yLk978RsAAP//AwBQSwMEFAAG&#10;AAgAAAAhAADlzsPeAAAABAEAAA8AAABkcnMvZG93bnJldi54bWxMj8FOwzAQRO9I/IO1SFwQdWgp&#10;hBCnQkiV6IEDhRy4OfE2iYjXke2myd+zcIHLSqMZzbzNN5PtxYg+dI4U3CwSEEi1Mx01Cj7et9cp&#10;iBA1Gd07QgUzBtgU52e5zow70RuO+9gILqGQaQVtjEMmZahbtDos3IDE3sF5qyNL30jj9YnLbS+X&#10;SXInre6IF1o94HOL9df+aBWUk7963T7sXubqsxvnZFeu0kOp1OXF9PQIIuIU/8Lwg8/oUDBT5Y5k&#10;gugV8CPx97K3XN/fgqgUrNMVyCKX/+GLbwAAAP//AwBQSwECLQAUAAYACAAAACEAtoM4kv4AAADh&#10;AQAAEwAAAAAAAAAAAAAAAAAAAAAAW0NvbnRlbnRfVHlwZXNdLnhtbFBLAQItABQABgAIAAAAIQA4&#10;/SH/1gAAAJQBAAALAAAAAAAAAAAAAAAAAC8BAABfcmVscy8ucmVsc1BLAQItABQABgAIAAAAIQBn&#10;3DW2EwIAACIEAAAOAAAAAAAAAAAAAAAAAC4CAABkcnMvZTJvRG9jLnhtbFBLAQItABQABgAIAAAA&#10;IQAA5c7D3gAAAAQBAAAPAAAAAAAAAAAAAAAAAG0EAABkcnMvZG93bnJldi54bWxQSwUGAAAAAAQA&#10;BADzAAAAeAUAAAAA&#10;" filled="f" stroked="f">
              <v:textbox style="mso-fit-shape-to-text:t" inset="0,15pt,20pt,0">
                <w:txbxContent>
                  <w:p w14:paraId="3AEFE9F9" w14:textId="20EFD4C5"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73E"/>
    <w:multiLevelType w:val="hybridMultilevel"/>
    <w:tmpl w:val="9132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08B"/>
    <w:multiLevelType w:val="hybridMultilevel"/>
    <w:tmpl w:val="5304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D0A95"/>
    <w:multiLevelType w:val="hybridMultilevel"/>
    <w:tmpl w:val="FE46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709FF"/>
    <w:multiLevelType w:val="hybridMultilevel"/>
    <w:tmpl w:val="50A67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25CA6"/>
    <w:multiLevelType w:val="hybridMultilevel"/>
    <w:tmpl w:val="10AE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3747F"/>
    <w:multiLevelType w:val="multilevel"/>
    <w:tmpl w:val="0D52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CC7E8D"/>
    <w:multiLevelType w:val="hybridMultilevel"/>
    <w:tmpl w:val="9BF6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B7C8B"/>
    <w:multiLevelType w:val="hybridMultilevel"/>
    <w:tmpl w:val="475CF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047863"/>
    <w:multiLevelType w:val="hybridMultilevel"/>
    <w:tmpl w:val="CF1C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10BA"/>
    <w:multiLevelType w:val="hybridMultilevel"/>
    <w:tmpl w:val="572C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79F7"/>
    <w:multiLevelType w:val="multilevel"/>
    <w:tmpl w:val="B304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948E6"/>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654B62"/>
    <w:multiLevelType w:val="hybridMultilevel"/>
    <w:tmpl w:val="D69E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E5E79"/>
    <w:multiLevelType w:val="multilevel"/>
    <w:tmpl w:val="015A4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345E4"/>
    <w:multiLevelType w:val="hybridMultilevel"/>
    <w:tmpl w:val="ECD8D1C6"/>
    <w:lvl w:ilvl="0" w:tplc="4AF06F8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92387"/>
    <w:multiLevelType w:val="hybridMultilevel"/>
    <w:tmpl w:val="5A76DF38"/>
    <w:lvl w:ilvl="0" w:tplc="4AF06F82">
      <w:numFmt w:val="bullet"/>
      <w:lvlText w:val="•"/>
      <w:lvlJc w:val="left"/>
      <w:pPr>
        <w:ind w:left="1440" w:hanging="72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DF0006"/>
    <w:multiLevelType w:val="hybridMultilevel"/>
    <w:tmpl w:val="2B58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61AF0"/>
    <w:multiLevelType w:val="multilevel"/>
    <w:tmpl w:val="1A0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D38B7"/>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24086C"/>
    <w:multiLevelType w:val="multilevel"/>
    <w:tmpl w:val="6F98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F3F57"/>
    <w:multiLevelType w:val="multilevel"/>
    <w:tmpl w:val="7726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E67039"/>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FD5597"/>
    <w:multiLevelType w:val="hybridMultilevel"/>
    <w:tmpl w:val="95C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B5507"/>
    <w:multiLevelType w:val="multilevel"/>
    <w:tmpl w:val="6498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F0CE7"/>
    <w:multiLevelType w:val="hybridMultilevel"/>
    <w:tmpl w:val="4874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851BE"/>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FD16B4"/>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3912F1"/>
    <w:multiLevelType w:val="hybridMultilevel"/>
    <w:tmpl w:val="ACFC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1246A"/>
    <w:multiLevelType w:val="hybridMultilevel"/>
    <w:tmpl w:val="B87E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95213"/>
    <w:multiLevelType w:val="hybridMultilevel"/>
    <w:tmpl w:val="D41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46491"/>
    <w:multiLevelType w:val="hybridMultilevel"/>
    <w:tmpl w:val="B52E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46747"/>
    <w:multiLevelType w:val="hybridMultilevel"/>
    <w:tmpl w:val="B04C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D1A96"/>
    <w:multiLevelType w:val="hybridMultilevel"/>
    <w:tmpl w:val="49BC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36527"/>
    <w:multiLevelType w:val="multilevel"/>
    <w:tmpl w:val="BE96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0B3943"/>
    <w:multiLevelType w:val="multilevel"/>
    <w:tmpl w:val="E624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44663"/>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F015B6"/>
    <w:multiLevelType w:val="multilevel"/>
    <w:tmpl w:val="3104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F4066"/>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31225F"/>
    <w:multiLevelType w:val="hybridMultilevel"/>
    <w:tmpl w:val="917A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D13B81"/>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B561F9"/>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3136D0"/>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0D7823"/>
    <w:multiLevelType w:val="hybridMultilevel"/>
    <w:tmpl w:val="34B0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828576">
    <w:abstractNumId w:val="40"/>
  </w:num>
  <w:num w:numId="2" w16cid:durableId="967665297">
    <w:abstractNumId w:val="37"/>
  </w:num>
  <w:num w:numId="3" w16cid:durableId="2105566039">
    <w:abstractNumId w:val="35"/>
  </w:num>
  <w:num w:numId="4" w16cid:durableId="1794473373">
    <w:abstractNumId w:val="11"/>
  </w:num>
  <w:num w:numId="5" w16cid:durableId="546795153">
    <w:abstractNumId w:val="26"/>
  </w:num>
  <w:num w:numId="6" w16cid:durableId="274407275">
    <w:abstractNumId w:val="18"/>
  </w:num>
  <w:num w:numId="7" w16cid:durableId="402994668">
    <w:abstractNumId w:val="41"/>
  </w:num>
  <w:num w:numId="8" w16cid:durableId="116803483">
    <w:abstractNumId w:val="39"/>
  </w:num>
  <w:num w:numId="9" w16cid:durableId="788277796">
    <w:abstractNumId w:val="25"/>
  </w:num>
  <w:num w:numId="10" w16cid:durableId="2111508453">
    <w:abstractNumId w:val="21"/>
  </w:num>
  <w:num w:numId="11" w16cid:durableId="355692105">
    <w:abstractNumId w:val="16"/>
  </w:num>
  <w:num w:numId="12" w16cid:durableId="139659416">
    <w:abstractNumId w:val="30"/>
  </w:num>
  <w:num w:numId="13" w16cid:durableId="1455447219">
    <w:abstractNumId w:val="6"/>
  </w:num>
  <w:num w:numId="14" w16cid:durableId="110632654">
    <w:abstractNumId w:val="3"/>
  </w:num>
  <w:num w:numId="15" w16cid:durableId="1407848539">
    <w:abstractNumId w:val="12"/>
  </w:num>
  <w:num w:numId="16" w16cid:durableId="232471019">
    <w:abstractNumId w:val="9"/>
  </w:num>
  <w:num w:numId="17" w16cid:durableId="897517139">
    <w:abstractNumId w:val="27"/>
  </w:num>
  <w:num w:numId="18" w16cid:durableId="786239980">
    <w:abstractNumId w:val="22"/>
  </w:num>
  <w:num w:numId="19" w16cid:durableId="1538159387">
    <w:abstractNumId w:val="4"/>
  </w:num>
  <w:num w:numId="20" w16cid:durableId="1089155028">
    <w:abstractNumId w:val="2"/>
  </w:num>
  <w:num w:numId="21" w16cid:durableId="1201817991">
    <w:abstractNumId w:val="38"/>
  </w:num>
  <w:num w:numId="22" w16cid:durableId="1425802443">
    <w:abstractNumId w:val="0"/>
  </w:num>
  <w:num w:numId="23" w16cid:durableId="484275766">
    <w:abstractNumId w:val="33"/>
  </w:num>
  <w:num w:numId="24" w16cid:durableId="1166554226">
    <w:abstractNumId w:val="19"/>
  </w:num>
  <w:num w:numId="25" w16cid:durableId="114104992">
    <w:abstractNumId w:val="13"/>
  </w:num>
  <w:num w:numId="26" w16cid:durableId="1103303435">
    <w:abstractNumId w:val="5"/>
  </w:num>
  <w:num w:numId="27" w16cid:durableId="239029384">
    <w:abstractNumId w:val="17"/>
  </w:num>
  <w:num w:numId="28" w16cid:durableId="1107192935">
    <w:abstractNumId w:val="23"/>
  </w:num>
  <w:num w:numId="29" w16cid:durableId="246964066">
    <w:abstractNumId w:val="10"/>
  </w:num>
  <w:num w:numId="30" w16cid:durableId="1751154437">
    <w:abstractNumId w:val="36"/>
  </w:num>
  <w:num w:numId="31" w16cid:durableId="267202095">
    <w:abstractNumId w:val="20"/>
  </w:num>
  <w:num w:numId="32" w16cid:durableId="118693148">
    <w:abstractNumId w:val="34"/>
  </w:num>
  <w:num w:numId="33" w16cid:durableId="875194562">
    <w:abstractNumId w:val="8"/>
  </w:num>
  <w:num w:numId="34" w16cid:durableId="282076347">
    <w:abstractNumId w:val="28"/>
  </w:num>
  <w:num w:numId="35" w16cid:durableId="173301952">
    <w:abstractNumId w:val="32"/>
  </w:num>
  <w:num w:numId="36" w16cid:durableId="1730759643">
    <w:abstractNumId w:val="31"/>
  </w:num>
  <w:num w:numId="37" w16cid:durableId="1886334847">
    <w:abstractNumId w:val="29"/>
  </w:num>
  <w:num w:numId="38" w16cid:durableId="1787775389">
    <w:abstractNumId w:val="24"/>
  </w:num>
  <w:num w:numId="39" w16cid:durableId="745613858">
    <w:abstractNumId w:val="1"/>
  </w:num>
  <w:num w:numId="40" w16cid:durableId="1885411418">
    <w:abstractNumId w:val="42"/>
  </w:num>
  <w:num w:numId="41" w16cid:durableId="1182670319">
    <w:abstractNumId w:val="7"/>
  </w:num>
  <w:num w:numId="42" w16cid:durableId="1949507272">
    <w:abstractNumId w:val="15"/>
  </w:num>
  <w:num w:numId="43" w16cid:durableId="144029507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C7"/>
    <w:rsid w:val="0003352F"/>
    <w:rsid w:val="000335C3"/>
    <w:rsid w:val="0004078F"/>
    <w:rsid w:val="00077272"/>
    <w:rsid w:val="000E1115"/>
    <w:rsid w:val="0012217F"/>
    <w:rsid w:val="00130EAE"/>
    <w:rsid w:val="00145E70"/>
    <w:rsid w:val="00152985"/>
    <w:rsid w:val="001A60E1"/>
    <w:rsid w:val="001C07F7"/>
    <w:rsid w:val="002036C4"/>
    <w:rsid w:val="00247F4D"/>
    <w:rsid w:val="00254E3C"/>
    <w:rsid w:val="00294860"/>
    <w:rsid w:val="00300B7F"/>
    <w:rsid w:val="003016CB"/>
    <w:rsid w:val="00302C2D"/>
    <w:rsid w:val="00305EF4"/>
    <w:rsid w:val="00311632"/>
    <w:rsid w:val="003247DB"/>
    <w:rsid w:val="003965C6"/>
    <w:rsid w:val="003F36FA"/>
    <w:rsid w:val="00433077"/>
    <w:rsid w:val="005121EA"/>
    <w:rsid w:val="00544B84"/>
    <w:rsid w:val="005918E0"/>
    <w:rsid w:val="005A65DE"/>
    <w:rsid w:val="006057AE"/>
    <w:rsid w:val="00606C57"/>
    <w:rsid w:val="00651B03"/>
    <w:rsid w:val="00666C9E"/>
    <w:rsid w:val="00667C5E"/>
    <w:rsid w:val="00675D8C"/>
    <w:rsid w:val="0068765F"/>
    <w:rsid w:val="00695343"/>
    <w:rsid w:val="0069660B"/>
    <w:rsid w:val="006B6157"/>
    <w:rsid w:val="006F5ECF"/>
    <w:rsid w:val="0071052D"/>
    <w:rsid w:val="007248AA"/>
    <w:rsid w:val="007253A0"/>
    <w:rsid w:val="00754F17"/>
    <w:rsid w:val="007555DD"/>
    <w:rsid w:val="007E4EF9"/>
    <w:rsid w:val="00811FA2"/>
    <w:rsid w:val="00827675"/>
    <w:rsid w:val="00864ECA"/>
    <w:rsid w:val="008B4B3A"/>
    <w:rsid w:val="008C0E16"/>
    <w:rsid w:val="008C1711"/>
    <w:rsid w:val="008C71D0"/>
    <w:rsid w:val="008D0236"/>
    <w:rsid w:val="008D5BE1"/>
    <w:rsid w:val="008E7449"/>
    <w:rsid w:val="00941844"/>
    <w:rsid w:val="00970F26"/>
    <w:rsid w:val="009874A4"/>
    <w:rsid w:val="009C317D"/>
    <w:rsid w:val="009C4FC7"/>
    <w:rsid w:val="009D6502"/>
    <w:rsid w:val="009F1315"/>
    <w:rsid w:val="009F3331"/>
    <w:rsid w:val="00A1438C"/>
    <w:rsid w:val="00A21235"/>
    <w:rsid w:val="00A30B78"/>
    <w:rsid w:val="00A7037B"/>
    <w:rsid w:val="00A71761"/>
    <w:rsid w:val="00A7380A"/>
    <w:rsid w:val="00A744AA"/>
    <w:rsid w:val="00AE2A78"/>
    <w:rsid w:val="00AE6922"/>
    <w:rsid w:val="00B5537D"/>
    <w:rsid w:val="00B57E06"/>
    <w:rsid w:val="00B962B2"/>
    <w:rsid w:val="00BB57EF"/>
    <w:rsid w:val="00BC0BB0"/>
    <w:rsid w:val="00C26BE7"/>
    <w:rsid w:val="00C33E27"/>
    <w:rsid w:val="00C56110"/>
    <w:rsid w:val="00C56EC1"/>
    <w:rsid w:val="00C778E5"/>
    <w:rsid w:val="00CC3FB9"/>
    <w:rsid w:val="00CD0B94"/>
    <w:rsid w:val="00CE22CE"/>
    <w:rsid w:val="00CF1067"/>
    <w:rsid w:val="00D06303"/>
    <w:rsid w:val="00D10E1A"/>
    <w:rsid w:val="00D963CA"/>
    <w:rsid w:val="00DA093C"/>
    <w:rsid w:val="00DC41AB"/>
    <w:rsid w:val="00E0062D"/>
    <w:rsid w:val="00E23FC7"/>
    <w:rsid w:val="00E4232C"/>
    <w:rsid w:val="00E47452"/>
    <w:rsid w:val="00E76000"/>
    <w:rsid w:val="00E87ECA"/>
    <w:rsid w:val="00EA5630"/>
    <w:rsid w:val="00F13D68"/>
    <w:rsid w:val="00F22825"/>
    <w:rsid w:val="00F536D0"/>
    <w:rsid w:val="00F61379"/>
    <w:rsid w:val="00F85B13"/>
    <w:rsid w:val="00FC58D6"/>
    <w:rsid w:val="00FF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58F2"/>
  <w15:chartTrackingRefBased/>
  <w15:docId w15:val="{B1A408F5-CDEE-473F-AEF4-0C1788F2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4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4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4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C4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4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4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4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C4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C7"/>
    <w:rPr>
      <w:rFonts w:eastAsiaTheme="majorEastAsia" w:cstheme="majorBidi"/>
      <w:color w:val="272727" w:themeColor="text1" w:themeTint="D8"/>
    </w:rPr>
  </w:style>
  <w:style w:type="paragraph" w:styleId="Title">
    <w:name w:val="Title"/>
    <w:basedOn w:val="Normal"/>
    <w:next w:val="Normal"/>
    <w:link w:val="TitleChar"/>
    <w:uiPriority w:val="10"/>
    <w:qFormat/>
    <w:rsid w:val="009C4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C7"/>
    <w:pPr>
      <w:spacing w:before="160"/>
      <w:jc w:val="center"/>
    </w:pPr>
    <w:rPr>
      <w:i/>
      <w:iCs/>
      <w:color w:val="404040" w:themeColor="text1" w:themeTint="BF"/>
    </w:rPr>
  </w:style>
  <w:style w:type="character" w:customStyle="1" w:styleId="QuoteChar">
    <w:name w:val="Quote Char"/>
    <w:basedOn w:val="DefaultParagraphFont"/>
    <w:link w:val="Quote"/>
    <w:uiPriority w:val="29"/>
    <w:rsid w:val="009C4FC7"/>
    <w:rPr>
      <w:i/>
      <w:iCs/>
      <w:color w:val="404040" w:themeColor="text1" w:themeTint="BF"/>
    </w:rPr>
  </w:style>
  <w:style w:type="paragraph" w:styleId="ListParagraph">
    <w:name w:val="List Paragraph"/>
    <w:basedOn w:val="Normal"/>
    <w:uiPriority w:val="34"/>
    <w:qFormat/>
    <w:rsid w:val="009C4FC7"/>
    <w:pPr>
      <w:ind w:left="720"/>
      <w:contextualSpacing/>
    </w:pPr>
  </w:style>
  <w:style w:type="character" w:styleId="IntenseEmphasis">
    <w:name w:val="Intense Emphasis"/>
    <w:basedOn w:val="DefaultParagraphFont"/>
    <w:uiPriority w:val="21"/>
    <w:qFormat/>
    <w:rsid w:val="009C4FC7"/>
    <w:rPr>
      <w:i/>
      <w:iCs/>
      <w:color w:val="0F4761" w:themeColor="accent1" w:themeShade="BF"/>
    </w:rPr>
  </w:style>
  <w:style w:type="paragraph" w:styleId="IntenseQuote">
    <w:name w:val="Intense Quote"/>
    <w:basedOn w:val="Normal"/>
    <w:next w:val="Normal"/>
    <w:link w:val="IntenseQuoteChar"/>
    <w:uiPriority w:val="30"/>
    <w:qFormat/>
    <w:rsid w:val="009C4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FC7"/>
    <w:rPr>
      <w:i/>
      <w:iCs/>
      <w:color w:val="0F4761" w:themeColor="accent1" w:themeShade="BF"/>
    </w:rPr>
  </w:style>
  <w:style w:type="character" w:styleId="IntenseReference">
    <w:name w:val="Intense Reference"/>
    <w:basedOn w:val="DefaultParagraphFont"/>
    <w:uiPriority w:val="32"/>
    <w:qFormat/>
    <w:rsid w:val="009C4FC7"/>
    <w:rPr>
      <w:b/>
      <w:bCs/>
      <w:smallCaps/>
      <w:color w:val="0F4761" w:themeColor="accent1" w:themeShade="BF"/>
      <w:spacing w:val="5"/>
    </w:rPr>
  </w:style>
  <w:style w:type="paragraph" w:styleId="Header">
    <w:name w:val="header"/>
    <w:basedOn w:val="Normal"/>
    <w:link w:val="HeaderChar"/>
    <w:uiPriority w:val="99"/>
    <w:unhideWhenUsed/>
    <w:rsid w:val="00E7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000"/>
  </w:style>
  <w:style w:type="paragraph" w:styleId="Footer">
    <w:name w:val="footer"/>
    <w:basedOn w:val="Normal"/>
    <w:link w:val="FooterChar"/>
    <w:uiPriority w:val="99"/>
    <w:unhideWhenUsed/>
    <w:rsid w:val="00E7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000"/>
  </w:style>
  <w:style w:type="character" w:styleId="Hyperlink">
    <w:name w:val="Hyperlink"/>
    <w:basedOn w:val="DefaultParagraphFont"/>
    <w:uiPriority w:val="99"/>
    <w:unhideWhenUsed/>
    <w:rsid w:val="008C1711"/>
    <w:rPr>
      <w:color w:val="467886" w:themeColor="hyperlink"/>
      <w:u w:val="single"/>
    </w:rPr>
  </w:style>
  <w:style w:type="character" w:styleId="UnresolvedMention">
    <w:name w:val="Unresolved Mention"/>
    <w:basedOn w:val="DefaultParagraphFont"/>
    <w:uiPriority w:val="99"/>
    <w:semiHidden/>
    <w:unhideWhenUsed/>
    <w:rsid w:val="008C1711"/>
    <w:rPr>
      <w:color w:val="605E5C"/>
      <w:shd w:val="clear" w:color="auto" w:fill="E1DFDD"/>
    </w:rPr>
  </w:style>
  <w:style w:type="paragraph" w:styleId="Revision">
    <w:name w:val="Revision"/>
    <w:hidden/>
    <w:uiPriority w:val="99"/>
    <w:semiHidden/>
    <w:rsid w:val="008D0236"/>
    <w:pPr>
      <w:spacing w:after="0" w:line="240" w:lineRule="auto"/>
    </w:pPr>
  </w:style>
  <w:style w:type="table" w:styleId="TableGrid">
    <w:name w:val="Table Grid"/>
    <w:basedOn w:val="TableNormal"/>
    <w:uiPriority w:val="39"/>
    <w:rsid w:val="0029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78E5"/>
    <w:rPr>
      <w:sz w:val="16"/>
      <w:szCs w:val="16"/>
    </w:rPr>
  </w:style>
  <w:style w:type="paragraph" w:styleId="CommentText">
    <w:name w:val="annotation text"/>
    <w:basedOn w:val="Normal"/>
    <w:link w:val="CommentTextChar"/>
    <w:uiPriority w:val="99"/>
    <w:unhideWhenUsed/>
    <w:rsid w:val="00C778E5"/>
    <w:pPr>
      <w:spacing w:line="240" w:lineRule="auto"/>
    </w:pPr>
    <w:rPr>
      <w:sz w:val="20"/>
      <w:szCs w:val="20"/>
    </w:rPr>
  </w:style>
  <w:style w:type="character" w:customStyle="1" w:styleId="CommentTextChar">
    <w:name w:val="Comment Text Char"/>
    <w:basedOn w:val="DefaultParagraphFont"/>
    <w:link w:val="CommentText"/>
    <w:uiPriority w:val="99"/>
    <w:rsid w:val="00C778E5"/>
    <w:rPr>
      <w:sz w:val="20"/>
      <w:szCs w:val="20"/>
    </w:rPr>
  </w:style>
  <w:style w:type="paragraph" w:styleId="CommentSubject">
    <w:name w:val="annotation subject"/>
    <w:basedOn w:val="CommentText"/>
    <w:next w:val="CommentText"/>
    <w:link w:val="CommentSubjectChar"/>
    <w:uiPriority w:val="99"/>
    <w:semiHidden/>
    <w:unhideWhenUsed/>
    <w:rsid w:val="00C778E5"/>
    <w:rPr>
      <w:b/>
      <w:bCs/>
    </w:rPr>
  </w:style>
  <w:style w:type="character" w:customStyle="1" w:styleId="CommentSubjectChar">
    <w:name w:val="Comment Subject Char"/>
    <w:basedOn w:val="CommentTextChar"/>
    <w:link w:val="CommentSubject"/>
    <w:uiPriority w:val="99"/>
    <w:semiHidden/>
    <w:rsid w:val="00C77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41">
      <w:bodyDiv w:val="1"/>
      <w:marLeft w:val="0"/>
      <w:marRight w:val="0"/>
      <w:marTop w:val="0"/>
      <w:marBottom w:val="0"/>
      <w:divBdr>
        <w:top w:val="none" w:sz="0" w:space="0" w:color="auto"/>
        <w:left w:val="none" w:sz="0" w:space="0" w:color="auto"/>
        <w:bottom w:val="none" w:sz="0" w:space="0" w:color="auto"/>
        <w:right w:val="none" w:sz="0" w:space="0" w:color="auto"/>
      </w:divBdr>
    </w:div>
    <w:div w:id="470904752">
      <w:bodyDiv w:val="1"/>
      <w:marLeft w:val="0"/>
      <w:marRight w:val="0"/>
      <w:marTop w:val="0"/>
      <w:marBottom w:val="0"/>
      <w:divBdr>
        <w:top w:val="none" w:sz="0" w:space="0" w:color="auto"/>
        <w:left w:val="none" w:sz="0" w:space="0" w:color="auto"/>
        <w:bottom w:val="none" w:sz="0" w:space="0" w:color="auto"/>
        <w:right w:val="none" w:sz="0" w:space="0" w:color="auto"/>
      </w:divBdr>
    </w:div>
    <w:div w:id="909463792">
      <w:bodyDiv w:val="1"/>
      <w:marLeft w:val="0"/>
      <w:marRight w:val="0"/>
      <w:marTop w:val="0"/>
      <w:marBottom w:val="0"/>
      <w:divBdr>
        <w:top w:val="none" w:sz="0" w:space="0" w:color="auto"/>
        <w:left w:val="none" w:sz="0" w:space="0" w:color="auto"/>
        <w:bottom w:val="none" w:sz="0" w:space="0" w:color="auto"/>
        <w:right w:val="none" w:sz="0" w:space="0" w:color="auto"/>
      </w:divBdr>
    </w:div>
    <w:div w:id="930158607">
      <w:bodyDiv w:val="1"/>
      <w:marLeft w:val="0"/>
      <w:marRight w:val="0"/>
      <w:marTop w:val="0"/>
      <w:marBottom w:val="0"/>
      <w:divBdr>
        <w:top w:val="none" w:sz="0" w:space="0" w:color="auto"/>
        <w:left w:val="none" w:sz="0" w:space="0" w:color="auto"/>
        <w:bottom w:val="none" w:sz="0" w:space="0" w:color="auto"/>
        <w:right w:val="none" w:sz="0" w:space="0" w:color="auto"/>
      </w:divBdr>
    </w:div>
    <w:div w:id="1011489413">
      <w:bodyDiv w:val="1"/>
      <w:marLeft w:val="0"/>
      <w:marRight w:val="0"/>
      <w:marTop w:val="0"/>
      <w:marBottom w:val="0"/>
      <w:divBdr>
        <w:top w:val="none" w:sz="0" w:space="0" w:color="auto"/>
        <w:left w:val="none" w:sz="0" w:space="0" w:color="auto"/>
        <w:bottom w:val="none" w:sz="0" w:space="0" w:color="auto"/>
        <w:right w:val="none" w:sz="0" w:space="0" w:color="auto"/>
      </w:divBdr>
    </w:div>
    <w:div w:id="1012298797">
      <w:bodyDiv w:val="1"/>
      <w:marLeft w:val="0"/>
      <w:marRight w:val="0"/>
      <w:marTop w:val="0"/>
      <w:marBottom w:val="0"/>
      <w:divBdr>
        <w:top w:val="none" w:sz="0" w:space="0" w:color="auto"/>
        <w:left w:val="none" w:sz="0" w:space="0" w:color="auto"/>
        <w:bottom w:val="none" w:sz="0" w:space="0" w:color="auto"/>
        <w:right w:val="none" w:sz="0" w:space="0" w:color="auto"/>
      </w:divBdr>
    </w:div>
    <w:div w:id="1188255021">
      <w:bodyDiv w:val="1"/>
      <w:marLeft w:val="0"/>
      <w:marRight w:val="0"/>
      <w:marTop w:val="0"/>
      <w:marBottom w:val="0"/>
      <w:divBdr>
        <w:top w:val="none" w:sz="0" w:space="0" w:color="auto"/>
        <w:left w:val="none" w:sz="0" w:space="0" w:color="auto"/>
        <w:bottom w:val="none" w:sz="0" w:space="0" w:color="auto"/>
        <w:right w:val="none" w:sz="0" w:space="0" w:color="auto"/>
      </w:divBdr>
    </w:div>
    <w:div w:id="1506938379">
      <w:bodyDiv w:val="1"/>
      <w:marLeft w:val="0"/>
      <w:marRight w:val="0"/>
      <w:marTop w:val="0"/>
      <w:marBottom w:val="0"/>
      <w:divBdr>
        <w:top w:val="none" w:sz="0" w:space="0" w:color="auto"/>
        <w:left w:val="none" w:sz="0" w:space="0" w:color="auto"/>
        <w:bottom w:val="none" w:sz="0" w:space="0" w:color="auto"/>
        <w:right w:val="none" w:sz="0" w:space="0" w:color="auto"/>
      </w:divBdr>
    </w:div>
    <w:div w:id="1626350602">
      <w:bodyDiv w:val="1"/>
      <w:marLeft w:val="0"/>
      <w:marRight w:val="0"/>
      <w:marTop w:val="0"/>
      <w:marBottom w:val="0"/>
      <w:divBdr>
        <w:top w:val="none" w:sz="0" w:space="0" w:color="auto"/>
        <w:left w:val="none" w:sz="0" w:space="0" w:color="auto"/>
        <w:bottom w:val="none" w:sz="0" w:space="0" w:color="auto"/>
        <w:right w:val="none" w:sz="0" w:space="0" w:color="auto"/>
      </w:divBdr>
    </w:div>
    <w:div w:id="2101021547">
      <w:bodyDiv w:val="1"/>
      <w:marLeft w:val="0"/>
      <w:marRight w:val="0"/>
      <w:marTop w:val="0"/>
      <w:marBottom w:val="0"/>
      <w:divBdr>
        <w:top w:val="none" w:sz="0" w:space="0" w:color="auto"/>
        <w:left w:val="none" w:sz="0" w:space="0" w:color="auto"/>
        <w:bottom w:val="none" w:sz="0" w:space="0" w:color="auto"/>
        <w:right w:val="none" w:sz="0" w:space="0" w:color="auto"/>
      </w:divBdr>
    </w:div>
    <w:div w:id="21250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safety.gc.ca/cnt/mrgnc-mngmnt/rcvr-dsstrs/dsstr-fnncl-ssstnc-rrngmnts/2025/dfaa-gdlns-en.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cnt\mrgnc-mngmnt\rcvr-dsstrs\dsstr-fnncl-ssstnc-rrngmnts\2025\schdls\schdl-4-en.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A65E-1D35-43A2-9353-82F9B1E6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Achille (he, him | il, lui)</dc:creator>
  <cp:keywords/>
  <dc:description/>
  <cp:lastModifiedBy>Thorne, Brenda (she, her | elle, la)</cp:lastModifiedBy>
  <cp:revision>3</cp:revision>
  <dcterms:created xsi:type="dcterms:W3CDTF">2025-06-13T14:54:00Z</dcterms:created>
  <dcterms:modified xsi:type="dcterms:W3CDTF">2025-06-13T15:52:00Z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16b3e3fc,4d23a77,614572e0</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7406319,7f9c126a,5e6aaae2</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2025-04-30T13:01:11Z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ae7d3351-39bf-4864-8e1f-3c8ac9a626b8</vt:lpwstr>
  </property>
  <property fmtid="{D5CDD505-2E9C-101B-9397-08002B2CF9AE}" pid="14" name="MSIP_Label_1dc9ef4b-740a-42cb-ab8b-01034c2f2fff_ContentBits">
    <vt:lpwstr>3</vt:lpwstr>
  </property>
  <property fmtid="{D5CDD505-2E9C-101B-9397-08002B2CF9AE}" pid="15" name="MSIP_Label_1dc9ef4b-740a-42cb-ab8b-01034c2f2fff_Tag">
    <vt:lpwstr>10, 0, 1, 1</vt:lpwstr>
  </property>
  <property fmtid="{D5CDD505-2E9C-101B-9397-08002B2CF9AE}" pid="16" name="_AdHocReviewCycleID">
    <vt:i4>997912029</vt:i4>
  </property>
  <property fmtid="{D5CDD505-2E9C-101B-9397-08002B2CF9AE}" pid="17" name="_NewReviewCycle">
    <vt:lpwstr/>
  </property>
  <property fmtid="{D5CDD505-2E9C-101B-9397-08002B2CF9AE}" pid="18" name="_EmailSubject">
    <vt:lpwstr>Web updates to Modernized DFAA Guidelines (EN and FR)</vt:lpwstr>
  </property>
  <property fmtid="{D5CDD505-2E9C-101B-9397-08002B2CF9AE}" pid="19" name="_AuthorEmail">
    <vt:lpwstr>Stephanie.Nemeth@PS-SP.GC.CA</vt:lpwstr>
  </property>
  <property fmtid="{D5CDD505-2E9C-101B-9397-08002B2CF9AE}" pid="20" name="_AuthorEmailDisplayName">
    <vt:lpwstr>Nemeth, Stephanie (she, her | elle, la)</vt:lpwstr>
  </property>
  <property fmtid="{D5CDD505-2E9C-101B-9397-08002B2CF9AE}" pid="21" name="_PreviousAdHocReviewCycleID">
    <vt:i4>948127880</vt:i4>
  </property>
  <property fmtid="{D5CDD505-2E9C-101B-9397-08002B2CF9AE}" pid="22" name="_ReviewingToolsShownOnce">
    <vt:lpwstr/>
  </property>
</Properties>
</file>