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74260" w14:textId="37AFBF3A" w:rsidR="00E51227" w:rsidRDefault="00E51227" w:rsidP="00D173AD">
      <w:pPr>
        <w:ind w:left="990"/>
        <w:rPr>
          <w:lang w:val="en-CA"/>
        </w:rPr>
      </w:pPr>
    </w:p>
    <w:p w14:paraId="26715952" w14:textId="77777777" w:rsidR="00E64092" w:rsidRDefault="00E64092" w:rsidP="00D173AD">
      <w:pPr>
        <w:ind w:left="990"/>
        <w:rPr>
          <w:lang w:val="en-CA"/>
        </w:rPr>
      </w:pPr>
    </w:p>
    <w:p w14:paraId="08682DE8" w14:textId="77777777" w:rsidR="00987B36" w:rsidRPr="00B515F2" w:rsidRDefault="00987B36" w:rsidP="00D173AD">
      <w:pPr>
        <w:ind w:left="990"/>
        <w:rPr>
          <w:lang w:val="en-CA"/>
        </w:rPr>
      </w:pPr>
    </w:p>
    <w:p w14:paraId="106A312C" w14:textId="77777777" w:rsidR="00014054" w:rsidRPr="00FA4826" w:rsidRDefault="00014054" w:rsidP="00D173AD">
      <w:pPr>
        <w:pStyle w:val="Heading1"/>
        <w:spacing w:after="120"/>
        <w:ind w:left="990"/>
        <w:rPr>
          <w:b w:val="0"/>
          <w:bCs/>
          <w:color w:val="467C81" w:themeColor="accent3"/>
          <w:sz w:val="44"/>
          <w:szCs w:val="28"/>
          <w:lang w:val="en-CA"/>
        </w:rPr>
      </w:pPr>
      <w:r w:rsidRPr="00FA4826">
        <w:rPr>
          <w:b w:val="0"/>
          <w:bCs/>
          <w:color w:val="467C81" w:themeColor="accent3"/>
          <w:sz w:val="44"/>
          <w:szCs w:val="28"/>
          <w:lang w:val="en-CA"/>
        </w:rPr>
        <w:t>Public Safety Canada</w:t>
      </w:r>
    </w:p>
    <w:p w14:paraId="00A355D0" w14:textId="3882C5BE" w:rsidR="00CD5DC0" w:rsidRPr="00CD5DC0" w:rsidRDefault="009E48CD" w:rsidP="00CD5DC0">
      <w:pPr>
        <w:pStyle w:val="Heading1"/>
        <w:spacing w:before="0" w:after="120"/>
        <w:ind w:left="994"/>
        <w:rPr>
          <w:sz w:val="72"/>
          <w:szCs w:val="40"/>
          <w:lang w:val="en-CA"/>
        </w:rPr>
      </w:pPr>
      <w:r w:rsidRPr="00CD5DC0">
        <w:rPr>
          <w:sz w:val="72"/>
          <w:szCs w:val="40"/>
          <w:lang w:val="en-CA"/>
        </w:rPr>
        <w:t>Tyler’s Story</w:t>
      </w:r>
      <w:r w:rsidR="00CD5DC0" w:rsidRPr="00CD5DC0">
        <w:rPr>
          <w:sz w:val="72"/>
          <w:szCs w:val="40"/>
          <w:lang w:val="en-CA"/>
        </w:rPr>
        <w:t xml:space="preserve"> </w:t>
      </w:r>
    </w:p>
    <w:p w14:paraId="54ED25B9" w14:textId="7DBE17C8" w:rsidR="00014054" w:rsidRPr="00B515F2" w:rsidRDefault="00CD5DC0" w:rsidP="00D173AD">
      <w:pPr>
        <w:pStyle w:val="Heading1"/>
        <w:spacing w:before="0"/>
        <w:ind w:left="990"/>
        <w:rPr>
          <w:lang w:val="en-CA"/>
        </w:rPr>
      </w:pPr>
      <w:r>
        <w:rPr>
          <w:lang w:val="en-CA"/>
        </w:rPr>
        <w:t>Methodological Companion</w:t>
      </w:r>
      <w:r w:rsidR="00014054" w:rsidRPr="00B515F2">
        <w:rPr>
          <w:lang w:val="en-CA"/>
        </w:rPr>
        <w:t xml:space="preserve"> </w:t>
      </w:r>
    </w:p>
    <w:p w14:paraId="77A7285C" w14:textId="77777777" w:rsidR="00382979" w:rsidRDefault="009E48CD" w:rsidP="00D173AD">
      <w:pPr>
        <w:pStyle w:val="Subtitle"/>
        <w:ind w:left="990"/>
      </w:pPr>
      <w:r>
        <w:t>Research Division, Crime Prevention Branch</w:t>
      </w:r>
      <w:r w:rsidR="00607FF4">
        <w:t xml:space="preserve">      </w:t>
      </w:r>
    </w:p>
    <w:p w14:paraId="5BC5162B" w14:textId="35AFC024" w:rsidR="005F288B" w:rsidRPr="00B515F2" w:rsidRDefault="00B21898" w:rsidP="00D173AD">
      <w:pPr>
        <w:pStyle w:val="DateDetails"/>
        <w:ind w:left="990" w:right="2700"/>
      </w:pPr>
      <w:r>
        <w:rPr>
          <w:color w:val="6175AE" w:themeColor="accent5"/>
        </w:rPr>
        <w:t>February</w:t>
      </w:r>
      <w:r w:rsidR="000378E2">
        <w:rPr>
          <w:color w:val="6175AE" w:themeColor="accent5"/>
        </w:rPr>
        <w:t xml:space="preserve"> </w:t>
      </w:r>
      <w:r w:rsidR="0099674C" w:rsidRPr="00124464">
        <w:rPr>
          <w:color w:val="6175AE" w:themeColor="accent5"/>
        </w:rPr>
        <w:t>20</w:t>
      </w:r>
      <w:r w:rsidR="000378E2">
        <w:rPr>
          <w:color w:val="6175AE" w:themeColor="accent5"/>
        </w:rPr>
        <w:t>26</w:t>
      </w:r>
      <w:r w:rsidR="00D173AD" w:rsidRPr="00FA4826">
        <w:rPr>
          <w:color w:val="6175AE" w:themeColor="accent5"/>
        </w:rPr>
        <w:t xml:space="preserve"> </w:t>
      </w:r>
      <w:r w:rsidR="005F288B" w:rsidRPr="00B515F2">
        <w:br w:type="page"/>
      </w:r>
    </w:p>
    <w:p w14:paraId="32F059CC" w14:textId="21A3FCF7" w:rsidR="00D52D26" w:rsidRPr="00B515F2" w:rsidRDefault="00364015" w:rsidP="00B954EA">
      <w:pPr>
        <w:spacing w:after="0" w:line="312" w:lineRule="auto"/>
        <w:rPr>
          <w:lang w:val="en-CA"/>
        </w:rPr>
      </w:pPr>
      <w:bookmarkStart w:id="0" w:name="_Hlk153280099"/>
      <w:r>
        <w:rPr>
          <w:noProof/>
          <w:lang w:val="en-CA"/>
        </w:rPr>
        <w:drawing>
          <wp:inline distT="0" distB="0" distL="0" distR="0" wp14:anchorId="76215562" wp14:editId="7A6575C4">
            <wp:extent cx="819150" cy="819150"/>
            <wp:effectExtent l="0" t="0" r="0" b="0"/>
            <wp:docPr id="752932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1E3E64C4" w14:textId="77777777" w:rsidR="00364015" w:rsidRPr="00364015" w:rsidRDefault="00D52D26" w:rsidP="00364015">
      <w:pPr>
        <w:spacing w:line="312" w:lineRule="auto"/>
        <w:rPr>
          <w:lang w:val="en-CA"/>
        </w:rPr>
      </w:pPr>
      <w:permStart w:id="704460944" w:edGrp="everyone"/>
      <w:permEnd w:id="704460944"/>
      <w:r w:rsidRPr="00B515F2">
        <w:rPr>
          <w:lang w:val="en-CA"/>
        </w:rPr>
        <w:t>Read this publication online at:</w:t>
      </w:r>
      <w:r w:rsidR="00364015">
        <w:rPr>
          <w:lang w:val="en-CA"/>
        </w:rPr>
        <w:t xml:space="preserve"> </w:t>
      </w:r>
      <w:hyperlink r:id="rId13" w:history="1">
        <w:r w:rsidR="00364015" w:rsidRPr="00364015">
          <w:rPr>
            <w:rStyle w:val="Hyperlink"/>
            <w:lang w:val="en-CA"/>
          </w:rPr>
          <w:t>https://www.publicsafety.gc.ca/cnt/rsrcs/pblctns/tlrs-stry-r001-2026/mthdlgcl-cmpnn-en.aspx</w:t>
        </w:r>
      </w:hyperlink>
    </w:p>
    <w:p w14:paraId="2E61D747" w14:textId="302248A7" w:rsidR="00CD5DC0" w:rsidRPr="00B515F2" w:rsidRDefault="00CD5DC0" w:rsidP="00CD5DC0">
      <w:pPr>
        <w:spacing w:line="312" w:lineRule="auto"/>
        <w:rPr>
          <w:lang w:val="en-CA"/>
        </w:rPr>
      </w:pPr>
      <w:r w:rsidRPr="00A653CD">
        <w:rPr>
          <w:lang w:val="en-CA" w:eastAsia="en-CA"/>
        </w:rPr>
        <w:t xml:space="preserve">This </w:t>
      </w:r>
      <w:r>
        <w:rPr>
          <w:lang w:val="en-CA" w:eastAsia="en-CA"/>
        </w:rPr>
        <w:t>methodological companion complements the</w:t>
      </w:r>
      <w:r w:rsidRPr="00A653CD">
        <w:rPr>
          <w:lang w:val="en-CA" w:eastAsia="en-CA"/>
        </w:rPr>
        <w:t xml:space="preserve"> </w:t>
      </w:r>
      <w:r>
        <w:rPr>
          <w:lang w:val="en-CA" w:eastAsia="en-CA"/>
        </w:rPr>
        <w:t>2025</w:t>
      </w:r>
      <w:r w:rsidRPr="00A653CD">
        <w:rPr>
          <w:lang w:val="en-CA" w:eastAsia="en-CA"/>
        </w:rPr>
        <w:t xml:space="preserve"> </w:t>
      </w:r>
      <w:hyperlink r:id="rId14" w:history="1">
        <w:r w:rsidRPr="000F4640">
          <w:rPr>
            <w:rStyle w:val="Hyperlink"/>
            <w:lang w:val="en-CA" w:eastAsia="en-CA"/>
          </w:rPr>
          <w:t>Tyler’s Story report</w:t>
        </w:r>
      </w:hyperlink>
      <w:r>
        <w:rPr>
          <w:lang w:val="en-CA" w:eastAsia="en-CA"/>
        </w:rPr>
        <w:t>. It details the guiding</w:t>
      </w:r>
      <w:r w:rsidRPr="00A653CD">
        <w:rPr>
          <w:lang w:val="en-CA" w:eastAsia="en-CA"/>
        </w:rPr>
        <w:t xml:space="preserve"> frameworks, key assumptions, and </w:t>
      </w:r>
      <w:r>
        <w:rPr>
          <w:lang w:val="en-CA" w:eastAsia="en-CA"/>
        </w:rPr>
        <w:t>calculations used in Tyler’s Story,</w:t>
      </w:r>
      <w:r w:rsidRPr="00703036">
        <w:t xml:space="preserve"> </w:t>
      </w:r>
      <w:r w:rsidRPr="00703036">
        <w:rPr>
          <w:lang w:val="en-CA" w:eastAsia="en-CA"/>
        </w:rPr>
        <w:t xml:space="preserve">including explanations of the report’s approach to risk factors, cost of crime calculations, cost-benefit analyses, and </w:t>
      </w:r>
      <w:r>
        <w:rPr>
          <w:lang w:val="en-CA" w:eastAsia="en-CA"/>
        </w:rPr>
        <w:t>associated</w:t>
      </w:r>
      <w:r w:rsidRPr="00703036">
        <w:rPr>
          <w:lang w:val="en-CA" w:eastAsia="en-CA"/>
        </w:rPr>
        <w:t xml:space="preserve"> limitations.</w:t>
      </w:r>
      <w:r>
        <w:rPr>
          <w:lang w:val="en-CA" w:eastAsia="en-CA"/>
        </w:rPr>
        <w:t xml:space="preserve"> </w:t>
      </w:r>
      <w:r w:rsidRPr="00703036">
        <w:rPr>
          <w:lang w:val="en-CA" w:eastAsia="en-CA"/>
        </w:rPr>
        <w:t xml:space="preserve">Together, this companion guide and the Tyler’s Story report facilitate a deeper understanding of criminal </w:t>
      </w:r>
      <w:r w:rsidR="0034275C">
        <w:rPr>
          <w:lang w:val="en-CA" w:eastAsia="en-CA"/>
        </w:rPr>
        <w:t>behaviour</w:t>
      </w:r>
      <w:r w:rsidRPr="00703036">
        <w:rPr>
          <w:lang w:val="en-CA" w:eastAsia="en-CA"/>
        </w:rPr>
        <w:t xml:space="preserve"> and justice involvement among Canadian youth, as well as the economic impacts of crime and potential cost-saving opportunities offered by crime prevention programming.</w:t>
      </w:r>
    </w:p>
    <w:p w14:paraId="7181271B" w14:textId="4B214FB7" w:rsidR="00D52D26" w:rsidRPr="008042F9" w:rsidRDefault="00D52D26" w:rsidP="00B954EA">
      <w:pPr>
        <w:spacing w:line="312" w:lineRule="auto"/>
        <w:rPr>
          <w:lang w:val="fr-FR"/>
        </w:rPr>
      </w:pPr>
      <w:r w:rsidRPr="008042F9">
        <w:rPr>
          <w:color w:val="000000" w:themeColor="text1"/>
          <w:lang w:val="fr-FR"/>
        </w:rPr>
        <w:t xml:space="preserve">Aussi disponible en français </w:t>
      </w:r>
      <w:r w:rsidRPr="008042F9">
        <w:rPr>
          <w:lang w:val="fr-FR"/>
        </w:rPr>
        <w:t xml:space="preserve">sous le titre : </w:t>
      </w:r>
      <w:hyperlink r:id="rId15" w:history="1">
        <w:r w:rsidR="008042F9" w:rsidRPr="00364015">
          <w:rPr>
            <w:rStyle w:val="Hyperlink"/>
            <w:lang w:val="fr-FR"/>
          </w:rPr>
          <w:t>L’histoire de Tyler: Complément méthodologique</w:t>
        </w:r>
      </w:hyperlink>
    </w:p>
    <w:p w14:paraId="02C6287B" w14:textId="77777777" w:rsidR="00D52D26" w:rsidRPr="00B515F2" w:rsidRDefault="00D52D26" w:rsidP="00B954EA">
      <w:pPr>
        <w:spacing w:line="312" w:lineRule="auto"/>
        <w:rPr>
          <w:lang w:val="en-CA"/>
        </w:rPr>
      </w:pPr>
      <w:r w:rsidRPr="00A146E9">
        <w:rPr>
          <w:lang w:val="en-CA"/>
        </w:rPr>
        <w:t xml:space="preserve">To obtain permission to reproduce Public Safety Canada </w:t>
      </w:r>
      <w:r w:rsidRPr="00B515F2">
        <w:rPr>
          <w:lang w:val="en-CA"/>
        </w:rPr>
        <w:t>materials for commercial purposes or to obtain additional information concerning copyright ownership and restrictions, please contact:</w:t>
      </w:r>
    </w:p>
    <w:p w14:paraId="070B98EE" w14:textId="77777777" w:rsidR="00D52D26" w:rsidRPr="00B515F2" w:rsidRDefault="00D52D26" w:rsidP="00B954EA">
      <w:pPr>
        <w:spacing w:after="0" w:line="312" w:lineRule="auto"/>
        <w:rPr>
          <w:lang w:val="en-CA"/>
        </w:rPr>
      </w:pPr>
      <w:r w:rsidRPr="00B515F2">
        <w:rPr>
          <w:lang w:val="en-CA"/>
        </w:rPr>
        <w:t>Public Safety Canada, Communications</w:t>
      </w:r>
    </w:p>
    <w:p w14:paraId="62F69650" w14:textId="77777777" w:rsidR="00B846B1" w:rsidRPr="00B515F2" w:rsidRDefault="00B846B1" w:rsidP="00B846B1">
      <w:pPr>
        <w:spacing w:after="0" w:line="312" w:lineRule="auto"/>
        <w:rPr>
          <w:lang w:val="en-CA"/>
        </w:rPr>
      </w:pPr>
      <w:r w:rsidRPr="00B515F2">
        <w:rPr>
          <w:lang w:val="en-CA"/>
        </w:rPr>
        <w:t>269 Laurier Ave. W</w:t>
      </w:r>
    </w:p>
    <w:p w14:paraId="28F16035" w14:textId="77777777" w:rsidR="00B846B1" w:rsidRPr="00B515F2" w:rsidRDefault="00B846B1" w:rsidP="00B846B1">
      <w:pPr>
        <w:spacing w:line="312" w:lineRule="auto"/>
        <w:rPr>
          <w:lang w:val="en-CA"/>
        </w:rPr>
      </w:pPr>
      <w:r w:rsidRPr="00B515F2">
        <w:rPr>
          <w:lang w:val="en-CA"/>
        </w:rPr>
        <w:t>Ottawa Canada  K1A 0P8</w:t>
      </w:r>
    </w:p>
    <w:p w14:paraId="4F04A40D" w14:textId="77777777" w:rsidR="00C804A3" w:rsidRPr="00C804A3" w:rsidRDefault="00C804A3" w:rsidP="00B846B1">
      <w:pPr>
        <w:spacing w:after="0" w:line="312" w:lineRule="auto"/>
        <w:rPr>
          <w:lang w:val="en-CA"/>
        </w:rPr>
      </w:pPr>
      <w:r>
        <w:rPr>
          <w:lang w:val="en-CA"/>
        </w:rPr>
        <w:fldChar w:fldCharType="begin"/>
      </w:r>
      <w:r>
        <w:rPr>
          <w:lang w:val="en-CA"/>
        </w:rPr>
        <w:instrText xml:space="preserve"> HYPERLINK "mailto:</w:instrText>
      </w:r>
      <w:r w:rsidRPr="00C804A3">
        <w:rPr>
          <w:lang w:val="en-CA"/>
        </w:rPr>
        <w:instrText>Communications@ps-sp.gc.ca</w:instrText>
      </w:r>
    </w:p>
    <w:p w14:paraId="0016558D" w14:textId="77777777" w:rsidR="00C804A3" w:rsidRPr="00535FFE" w:rsidRDefault="00C804A3" w:rsidP="00B846B1">
      <w:pPr>
        <w:spacing w:after="0" w:line="312" w:lineRule="auto"/>
        <w:rPr>
          <w:rStyle w:val="Hyperlink"/>
          <w:lang w:val="en-CA"/>
        </w:rPr>
      </w:pPr>
      <w:r>
        <w:rPr>
          <w:lang w:val="en-CA"/>
        </w:rPr>
        <w:instrText xml:space="preserve">" </w:instrText>
      </w:r>
      <w:r>
        <w:rPr>
          <w:lang w:val="en-CA"/>
        </w:rPr>
      </w:r>
      <w:r>
        <w:rPr>
          <w:lang w:val="en-CA"/>
        </w:rPr>
        <w:fldChar w:fldCharType="separate"/>
      </w:r>
      <w:r w:rsidRPr="00535FFE">
        <w:rPr>
          <w:rStyle w:val="Hyperlink"/>
          <w:lang w:val="en-CA"/>
        </w:rPr>
        <w:t>Communications@ps-sp.gc.ca</w:t>
      </w:r>
    </w:p>
    <w:p w14:paraId="73DCB8FE" w14:textId="77777777" w:rsidR="00D52D26" w:rsidRPr="00C804A3" w:rsidRDefault="00C804A3" w:rsidP="00B954EA">
      <w:pPr>
        <w:spacing w:line="312" w:lineRule="auto"/>
        <w:rPr>
          <w:rStyle w:val="Hyperlink"/>
          <w:lang w:val="en-CA"/>
        </w:rPr>
      </w:pPr>
      <w:r>
        <w:rPr>
          <w:lang w:val="en-CA"/>
        </w:rPr>
        <w:fldChar w:fldCharType="end"/>
      </w:r>
      <w:r>
        <w:rPr>
          <w:lang w:val="en-CA"/>
        </w:rPr>
        <w:fldChar w:fldCharType="begin"/>
      </w:r>
      <w:r>
        <w:rPr>
          <w:lang w:val="en-CA"/>
        </w:rPr>
        <w:instrText>HYPERLINK "https://www.publicsafety.gc.ca/index-en.aspx"</w:instrText>
      </w:r>
      <w:r>
        <w:rPr>
          <w:lang w:val="en-CA"/>
        </w:rPr>
      </w:r>
      <w:r>
        <w:rPr>
          <w:lang w:val="en-CA"/>
        </w:rPr>
        <w:fldChar w:fldCharType="separate"/>
      </w:r>
      <w:r w:rsidRPr="00C804A3">
        <w:rPr>
          <w:rStyle w:val="Hyperlink"/>
          <w:lang w:val="en-CA"/>
        </w:rPr>
        <w:t>www.PublicSafety.gc.ca</w:t>
      </w:r>
    </w:p>
    <w:p w14:paraId="75B1E002" w14:textId="67E000FC" w:rsidR="00D52D26" w:rsidRPr="00B515F2" w:rsidRDefault="00C804A3" w:rsidP="00B954EA">
      <w:pPr>
        <w:spacing w:line="312" w:lineRule="auto"/>
        <w:rPr>
          <w:lang w:val="en-CA"/>
        </w:rPr>
      </w:pPr>
      <w:r>
        <w:rPr>
          <w:lang w:val="en-CA"/>
        </w:rPr>
        <w:fldChar w:fldCharType="end"/>
      </w:r>
      <w:r w:rsidR="00D52D26" w:rsidRPr="00B515F2">
        <w:rPr>
          <w:lang w:val="en-CA"/>
        </w:rPr>
        <w:t>© His Majesty the King in Right of Canada, as represented by the Ministers of Public Safety and Emergency Preparedness</w:t>
      </w:r>
      <w:r w:rsidR="00D52D26" w:rsidRPr="009E48CD">
        <w:rPr>
          <w:lang w:val="en-CA"/>
        </w:rPr>
        <w:t>, 202</w:t>
      </w:r>
      <w:r w:rsidR="000378E2">
        <w:rPr>
          <w:lang w:val="en-CA"/>
        </w:rPr>
        <w:t>6</w:t>
      </w:r>
      <w:r w:rsidR="00D52D26" w:rsidRPr="009E48CD">
        <w:rPr>
          <w:lang w:val="en-CA"/>
        </w:rPr>
        <w:t>.</w:t>
      </w:r>
    </w:p>
    <w:p w14:paraId="43EB9E65" w14:textId="2FD1E7C7" w:rsidR="00B954EA" w:rsidRPr="00382979" w:rsidRDefault="00B954EA" w:rsidP="00B954EA">
      <w:pPr>
        <w:spacing w:after="0" w:line="312" w:lineRule="auto"/>
        <w:rPr>
          <w:lang w:val="fr-FR"/>
        </w:rPr>
      </w:pPr>
      <w:bookmarkStart w:id="1" w:name="_Hlk153454840"/>
      <w:r w:rsidRPr="00382979">
        <w:rPr>
          <w:lang w:val="fr-FR"/>
        </w:rPr>
        <w:t xml:space="preserve">Publication date: </w:t>
      </w:r>
      <w:r w:rsidR="000378E2" w:rsidRPr="00382979">
        <w:rPr>
          <w:lang w:val="fr-FR"/>
        </w:rPr>
        <w:t>2026-01</w:t>
      </w:r>
    </w:p>
    <w:p w14:paraId="3EE33957" w14:textId="77777777" w:rsidR="000378E2" w:rsidRPr="00382979" w:rsidRDefault="00D52D26" w:rsidP="000378E2">
      <w:pPr>
        <w:spacing w:line="312" w:lineRule="auto"/>
        <w:rPr>
          <w:lang w:val="fr-FR"/>
        </w:rPr>
      </w:pPr>
      <w:bookmarkStart w:id="2" w:name="_Hlk153274897"/>
      <w:bookmarkEnd w:id="1"/>
      <w:r w:rsidRPr="00382979">
        <w:rPr>
          <w:lang w:val="fr-FR"/>
        </w:rPr>
        <w:t xml:space="preserve">Catalogue Number: </w:t>
      </w:r>
      <w:r w:rsidR="000378E2" w:rsidRPr="00382979">
        <w:rPr>
          <w:lang w:val="fr-FR"/>
        </w:rPr>
        <w:t>PS18-106/2-2026E-PDF</w:t>
      </w:r>
    </w:p>
    <w:p w14:paraId="677D2ECD" w14:textId="486D4BC4" w:rsidR="006426BE" w:rsidRDefault="00D52D26" w:rsidP="00B954EA">
      <w:pPr>
        <w:spacing w:after="160" w:line="312" w:lineRule="auto"/>
        <w:rPr>
          <w:highlight w:val="yellow"/>
          <w:lang w:val="en-CA"/>
        </w:rPr>
      </w:pPr>
      <w:r w:rsidRPr="00B515F2">
        <w:rPr>
          <w:lang w:val="en-CA"/>
        </w:rPr>
        <w:t xml:space="preserve">ISBN: </w:t>
      </w:r>
      <w:r w:rsidR="000378E2" w:rsidRPr="000378E2">
        <w:t>978-0-660-79499-0</w:t>
      </w:r>
      <w:r w:rsidR="000378E2" w:rsidRPr="000378E2">
        <w:rPr>
          <w:lang w:val="en-CA"/>
        </w:rPr>
        <w:t xml:space="preserve"> </w:t>
      </w:r>
    </w:p>
    <w:p w14:paraId="02AEB4FF" w14:textId="77777777" w:rsidR="009C7F61" w:rsidRDefault="009C7F61">
      <w:pPr>
        <w:spacing w:after="160" w:line="259" w:lineRule="auto"/>
        <w:rPr>
          <w:rFonts w:ascii="Aptos SemiBold" w:eastAsiaTheme="majorEastAsia" w:hAnsi="Aptos SemiBold" w:cstheme="majorBidi"/>
          <w:color w:val="3A5A88" w:themeColor="accent1"/>
          <w:sz w:val="40"/>
          <w:szCs w:val="26"/>
        </w:rPr>
        <w:sectPr w:rsidR="009C7F61" w:rsidSect="000378E2">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350" w:left="1440" w:header="720" w:footer="0" w:gutter="0"/>
          <w:cols w:space="720"/>
          <w:titlePg/>
          <w:docGrid w:linePitch="360"/>
        </w:sectPr>
      </w:pPr>
      <w:bookmarkStart w:id="3" w:name="_Toc156371201"/>
      <w:bookmarkStart w:id="4" w:name="_Toc165908542"/>
      <w:bookmarkEnd w:id="0"/>
      <w:bookmarkEnd w:id="2"/>
    </w:p>
    <w:p w14:paraId="7A674D9E" w14:textId="221D5238" w:rsidR="00CD5DC0" w:rsidRDefault="00CD5DC0">
      <w:pPr>
        <w:spacing w:after="160" w:line="259" w:lineRule="auto"/>
        <w:rPr>
          <w:rFonts w:ascii="Aptos SemiBold" w:eastAsiaTheme="majorEastAsia" w:hAnsi="Aptos SemiBold" w:cstheme="majorBidi"/>
          <w:color w:val="3A5A88" w:themeColor="accent1"/>
          <w:sz w:val="40"/>
          <w:szCs w:val="26"/>
        </w:rPr>
      </w:pPr>
    </w:p>
    <w:p w14:paraId="4C952411" w14:textId="77777777" w:rsidR="00CF41A8" w:rsidRDefault="00A55A51" w:rsidP="00E55F95">
      <w:pPr>
        <w:pStyle w:val="Heading2"/>
        <w:rPr>
          <w:noProof/>
        </w:rPr>
      </w:pPr>
      <w:bookmarkStart w:id="5" w:name="_Toc191827374"/>
      <w:bookmarkStart w:id="6" w:name="_Toc197535367"/>
      <w:bookmarkStart w:id="7" w:name="_Toc201674476"/>
      <w:r w:rsidRPr="00B515F2">
        <w:t>Table of contents</w:t>
      </w:r>
      <w:bookmarkEnd w:id="5"/>
      <w:bookmarkEnd w:id="6"/>
      <w:bookmarkEnd w:id="7"/>
      <w:r w:rsidRPr="00B515F2">
        <w:t xml:space="preserve"> </w:t>
      </w:r>
      <w:bookmarkEnd w:id="3"/>
      <w:bookmarkEnd w:id="4"/>
      <w:r w:rsidR="0035321F" w:rsidRPr="00B515F2">
        <w:rPr>
          <w:rFonts w:eastAsiaTheme="minorHAnsi" w:cstheme="minorBidi"/>
          <w:sz w:val="24"/>
          <w:szCs w:val="22"/>
        </w:rPr>
        <w:fldChar w:fldCharType="begin"/>
      </w:r>
      <w:r w:rsidR="0035321F" w:rsidRPr="00B515F2">
        <w:instrText xml:space="preserve"> TOC \u \t "Heading 2,1,Heading 3,1" </w:instrText>
      </w:r>
      <w:r w:rsidR="0035321F" w:rsidRPr="00B515F2">
        <w:rPr>
          <w:rFonts w:eastAsiaTheme="minorHAnsi" w:cstheme="minorBidi"/>
          <w:sz w:val="24"/>
          <w:szCs w:val="22"/>
        </w:rPr>
        <w:fldChar w:fldCharType="separate"/>
      </w:r>
    </w:p>
    <w:p w14:paraId="54061FA3" w14:textId="7BD738DF" w:rsidR="00CF41A8" w:rsidRDefault="00CF41A8">
      <w:pPr>
        <w:pStyle w:val="TOC1"/>
        <w:tabs>
          <w:tab w:val="right" w:leader="dot" w:pos="9350"/>
        </w:tabs>
        <w:rPr>
          <w:rFonts w:asciiTheme="minorHAnsi" w:eastAsiaTheme="minorEastAsia" w:hAnsiTheme="minorHAnsi"/>
          <w:noProof/>
          <w:kern w:val="2"/>
          <w:sz w:val="24"/>
          <w:szCs w:val="24"/>
          <w14:ligatures w14:val="standardContextual"/>
        </w:rPr>
      </w:pPr>
      <w:r w:rsidRPr="00980306">
        <w:rPr>
          <w:b/>
          <w:bCs/>
          <w:noProof/>
        </w:rPr>
        <w:t>Acronyms</w:t>
      </w:r>
      <w:r>
        <w:rPr>
          <w:noProof/>
        </w:rPr>
        <w:tab/>
      </w:r>
      <w:r>
        <w:rPr>
          <w:noProof/>
        </w:rPr>
        <w:fldChar w:fldCharType="begin"/>
      </w:r>
      <w:r>
        <w:rPr>
          <w:noProof/>
        </w:rPr>
        <w:instrText xml:space="preserve"> PAGEREF _Toc201674477 \h </w:instrText>
      </w:r>
      <w:r>
        <w:rPr>
          <w:noProof/>
        </w:rPr>
      </w:r>
      <w:r>
        <w:rPr>
          <w:noProof/>
        </w:rPr>
        <w:fldChar w:fldCharType="separate"/>
      </w:r>
      <w:r w:rsidR="00980306">
        <w:rPr>
          <w:noProof/>
        </w:rPr>
        <w:t>4</w:t>
      </w:r>
      <w:r>
        <w:rPr>
          <w:noProof/>
        </w:rPr>
        <w:fldChar w:fldCharType="end"/>
      </w:r>
    </w:p>
    <w:p w14:paraId="09F89D17" w14:textId="458EB917" w:rsidR="00CF41A8" w:rsidRDefault="00CF41A8">
      <w:pPr>
        <w:pStyle w:val="TOC1"/>
        <w:tabs>
          <w:tab w:val="right" w:leader="dot" w:pos="9350"/>
        </w:tabs>
        <w:rPr>
          <w:rFonts w:asciiTheme="minorHAnsi" w:eastAsiaTheme="minorEastAsia" w:hAnsiTheme="minorHAnsi"/>
          <w:noProof/>
          <w:kern w:val="2"/>
          <w:sz w:val="24"/>
          <w:szCs w:val="24"/>
          <w14:ligatures w14:val="standardContextual"/>
        </w:rPr>
      </w:pPr>
      <w:r w:rsidRPr="00980306">
        <w:rPr>
          <w:b/>
          <w:bCs/>
          <w:noProof/>
        </w:rPr>
        <w:t>Introduction</w:t>
      </w:r>
      <w:r>
        <w:rPr>
          <w:noProof/>
        </w:rPr>
        <w:tab/>
      </w:r>
      <w:r>
        <w:rPr>
          <w:noProof/>
        </w:rPr>
        <w:fldChar w:fldCharType="begin"/>
      </w:r>
      <w:r>
        <w:rPr>
          <w:noProof/>
        </w:rPr>
        <w:instrText xml:space="preserve"> PAGEREF _Toc201674478 \h </w:instrText>
      </w:r>
      <w:r>
        <w:rPr>
          <w:noProof/>
        </w:rPr>
      </w:r>
      <w:r>
        <w:rPr>
          <w:noProof/>
        </w:rPr>
        <w:fldChar w:fldCharType="separate"/>
      </w:r>
      <w:r w:rsidR="00980306">
        <w:rPr>
          <w:noProof/>
        </w:rPr>
        <w:t>5</w:t>
      </w:r>
      <w:r>
        <w:rPr>
          <w:noProof/>
        </w:rPr>
        <w:fldChar w:fldCharType="end"/>
      </w:r>
    </w:p>
    <w:p w14:paraId="21AF2BE9" w14:textId="605BF0C5" w:rsidR="00CF41A8" w:rsidRDefault="00CF41A8">
      <w:pPr>
        <w:pStyle w:val="TOC1"/>
        <w:tabs>
          <w:tab w:val="right" w:leader="dot" w:pos="9350"/>
        </w:tabs>
        <w:rPr>
          <w:rFonts w:asciiTheme="minorHAnsi" w:eastAsiaTheme="minorEastAsia" w:hAnsiTheme="minorHAnsi"/>
          <w:noProof/>
          <w:kern w:val="2"/>
          <w:sz w:val="24"/>
          <w:szCs w:val="24"/>
          <w14:ligatures w14:val="standardContextual"/>
        </w:rPr>
      </w:pPr>
      <w:r w:rsidRPr="00980306">
        <w:rPr>
          <w:b/>
          <w:bCs/>
          <w:noProof/>
          <w:lang w:eastAsia="en-CA"/>
        </w:rPr>
        <w:t>Methodology</w:t>
      </w:r>
      <w:r>
        <w:rPr>
          <w:noProof/>
        </w:rPr>
        <w:tab/>
      </w:r>
      <w:r>
        <w:rPr>
          <w:noProof/>
        </w:rPr>
        <w:fldChar w:fldCharType="begin"/>
      </w:r>
      <w:r>
        <w:rPr>
          <w:noProof/>
        </w:rPr>
        <w:instrText xml:space="preserve"> PAGEREF _Toc201674479 \h </w:instrText>
      </w:r>
      <w:r>
        <w:rPr>
          <w:noProof/>
        </w:rPr>
      </w:r>
      <w:r>
        <w:rPr>
          <w:noProof/>
        </w:rPr>
        <w:fldChar w:fldCharType="separate"/>
      </w:r>
      <w:r w:rsidR="00980306">
        <w:rPr>
          <w:noProof/>
        </w:rPr>
        <w:t>6</w:t>
      </w:r>
      <w:r>
        <w:rPr>
          <w:noProof/>
        </w:rPr>
        <w:fldChar w:fldCharType="end"/>
      </w:r>
    </w:p>
    <w:p w14:paraId="58345818" w14:textId="5FDFCD93" w:rsidR="00CF41A8" w:rsidRDefault="00CF41A8">
      <w:pPr>
        <w:pStyle w:val="TOC1"/>
        <w:tabs>
          <w:tab w:val="right" w:leader="dot" w:pos="9350"/>
        </w:tabs>
        <w:rPr>
          <w:rFonts w:asciiTheme="minorHAnsi" w:eastAsiaTheme="minorEastAsia" w:hAnsiTheme="minorHAnsi"/>
          <w:noProof/>
          <w:kern w:val="2"/>
          <w:sz w:val="24"/>
          <w:szCs w:val="24"/>
          <w14:ligatures w14:val="standardContextual"/>
        </w:rPr>
      </w:pPr>
      <w:r w:rsidRPr="007127B9">
        <w:rPr>
          <w:noProof/>
          <w:lang w:val="en-CA" w:eastAsia="en-CA"/>
        </w:rPr>
        <w:t>Risk factors and crime prevention</w:t>
      </w:r>
      <w:r>
        <w:rPr>
          <w:noProof/>
        </w:rPr>
        <w:tab/>
      </w:r>
      <w:r>
        <w:rPr>
          <w:noProof/>
        </w:rPr>
        <w:fldChar w:fldCharType="begin"/>
      </w:r>
      <w:r>
        <w:rPr>
          <w:noProof/>
        </w:rPr>
        <w:instrText xml:space="preserve"> PAGEREF _Toc201674480 \h </w:instrText>
      </w:r>
      <w:r>
        <w:rPr>
          <w:noProof/>
        </w:rPr>
      </w:r>
      <w:r>
        <w:rPr>
          <w:noProof/>
        </w:rPr>
        <w:fldChar w:fldCharType="separate"/>
      </w:r>
      <w:r w:rsidR="00980306">
        <w:rPr>
          <w:noProof/>
        </w:rPr>
        <w:t>6</w:t>
      </w:r>
      <w:r>
        <w:rPr>
          <w:noProof/>
        </w:rPr>
        <w:fldChar w:fldCharType="end"/>
      </w:r>
    </w:p>
    <w:p w14:paraId="6B247160" w14:textId="1C51FEFE" w:rsidR="00CF41A8" w:rsidRDefault="00CF41A8">
      <w:pPr>
        <w:pStyle w:val="TOC1"/>
        <w:tabs>
          <w:tab w:val="right" w:leader="dot" w:pos="9350"/>
        </w:tabs>
        <w:rPr>
          <w:rFonts w:asciiTheme="minorHAnsi" w:eastAsiaTheme="minorEastAsia" w:hAnsiTheme="minorHAnsi"/>
          <w:noProof/>
          <w:kern w:val="2"/>
          <w:sz w:val="24"/>
          <w:szCs w:val="24"/>
          <w14:ligatures w14:val="standardContextual"/>
        </w:rPr>
      </w:pPr>
      <w:r>
        <w:rPr>
          <w:noProof/>
        </w:rPr>
        <w:t>Costing calculus</w:t>
      </w:r>
      <w:r>
        <w:rPr>
          <w:noProof/>
        </w:rPr>
        <w:tab/>
      </w:r>
      <w:r>
        <w:rPr>
          <w:noProof/>
        </w:rPr>
        <w:fldChar w:fldCharType="begin"/>
      </w:r>
      <w:r>
        <w:rPr>
          <w:noProof/>
        </w:rPr>
        <w:instrText xml:space="preserve"> PAGEREF _Toc201674481 \h </w:instrText>
      </w:r>
      <w:r>
        <w:rPr>
          <w:noProof/>
        </w:rPr>
      </w:r>
      <w:r>
        <w:rPr>
          <w:noProof/>
        </w:rPr>
        <w:fldChar w:fldCharType="separate"/>
      </w:r>
      <w:r w:rsidR="00980306">
        <w:rPr>
          <w:noProof/>
        </w:rPr>
        <w:t>13</w:t>
      </w:r>
      <w:r>
        <w:rPr>
          <w:noProof/>
        </w:rPr>
        <w:fldChar w:fldCharType="end"/>
      </w:r>
    </w:p>
    <w:p w14:paraId="701E55DA" w14:textId="50EDC8D2" w:rsidR="00CF41A8" w:rsidRDefault="00CF41A8">
      <w:pPr>
        <w:pStyle w:val="TOC1"/>
        <w:tabs>
          <w:tab w:val="right" w:leader="dot" w:pos="9350"/>
        </w:tabs>
        <w:rPr>
          <w:rFonts w:asciiTheme="minorHAnsi" w:eastAsiaTheme="minorEastAsia" w:hAnsiTheme="minorHAnsi"/>
          <w:noProof/>
          <w:kern w:val="2"/>
          <w:sz w:val="24"/>
          <w:szCs w:val="24"/>
          <w14:ligatures w14:val="standardContextual"/>
        </w:rPr>
      </w:pPr>
      <w:r w:rsidRPr="00980306">
        <w:rPr>
          <w:b/>
          <w:bCs/>
          <w:noProof/>
        </w:rPr>
        <w:t>Conclusion</w:t>
      </w:r>
      <w:r>
        <w:rPr>
          <w:noProof/>
        </w:rPr>
        <w:tab/>
      </w:r>
      <w:r>
        <w:rPr>
          <w:noProof/>
        </w:rPr>
        <w:fldChar w:fldCharType="begin"/>
      </w:r>
      <w:r>
        <w:rPr>
          <w:noProof/>
        </w:rPr>
        <w:instrText xml:space="preserve"> PAGEREF _Toc201674482 \h </w:instrText>
      </w:r>
      <w:r>
        <w:rPr>
          <w:noProof/>
        </w:rPr>
      </w:r>
      <w:r>
        <w:rPr>
          <w:noProof/>
        </w:rPr>
        <w:fldChar w:fldCharType="separate"/>
      </w:r>
      <w:r w:rsidR="00980306">
        <w:rPr>
          <w:noProof/>
        </w:rPr>
        <w:t>19</w:t>
      </w:r>
      <w:r>
        <w:rPr>
          <w:noProof/>
        </w:rPr>
        <w:fldChar w:fldCharType="end"/>
      </w:r>
    </w:p>
    <w:p w14:paraId="56D06E46" w14:textId="5E6C6D41" w:rsidR="00CF41A8" w:rsidRDefault="00CF41A8">
      <w:pPr>
        <w:pStyle w:val="TOC1"/>
        <w:tabs>
          <w:tab w:val="right" w:leader="dot" w:pos="9350"/>
        </w:tabs>
        <w:rPr>
          <w:rFonts w:asciiTheme="minorHAnsi" w:eastAsiaTheme="minorEastAsia" w:hAnsiTheme="minorHAnsi"/>
          <w:noProof/>
          <w:kern w:val="2"/>
          <w:sz w:val="24"/>
          <w:szCs w:val="24"/>
          <w14:ligatures w14:val="standardContextual"/>
        </w:rPr>
      </w:pPr>
      <w:r>
        <w:rPr>
          <w:noProof/>
        </w:rPr>
        <w:t>Annex A: Cost Estimates</w:t>
      </w:r>
      <w:r>
        <w:rPr>
          <w:noProof/>
        </w:rPr>
        <w:tab/>
      </w:r>
      <w:r>
        <w:rPr>
          <w:noProof/>
        </w:rPr>
        <w:fldChar w:fldCharType="begin"/>
      </w:r>
      <w:r>
        <w:rPr>
          <w:noProof/>
        </w:rPr>
        <w:instrText xml:space="preserve"> PAGEREF _Toc201674483 \h </w:instrText>
      </w:r>
      <w:r>
        <w:rPr>
          <w:noProof/>
        </w:rPr>
      </w:r>
      <w:r>
        <w:rPr>
          <w:noProof/>
        </w:rPr>
        <w:fldChar w:fldCharType="separate"/>
      </w:r>
      <w:r w:rsidR="00980306">
        <w:rPr>
          <w:noProof/>
        </w:rPr>
        <w:t>20</w:t>
      </w:r>
      <w:r>
        <w:rPr>
          <w:noProof/>
        </w:rPr>
        <w:fldChar w:fldCharType="end"/>
      </w:r>
    </w:p>
    <w:p w14:paraId="15236ACB" w14:textId="4F60436D" w:rsidR="00CF41A8" w:rsidRDefault="00CF41A8">
      <w:pPr>
        <w:pStyle w:val="TOC1"/>
        <w:tabs>
          <w:tab w:val="right" w:leader="dot" w:pos="9350"/>
        </w:tabs>
        <w:rPr>
          <w:rFonts w:asciiTheme="minorHAnsi" w:eastAsiaTheme="minorEastAsia" w:hAnsiTheme="minorHAnsi"/>
          <w:noProof/>
          <w:kern w:val="2"/>
          <w:sz w:val="24"/>
          <w:szCs w:val="24"/>
          <w14:ligatures w14:val="standardContextual"/>
        </w:rPr>
      </w:pPr>
      <w:r>
        <w:rPr>
          <w:noProof/>
        </w:rPr>
        <w:t>Annex B: Cost Elements</w:t>
      </w:r>
      <w:r>
        <w:rPr>
          <w:noProof/>
        </w:rPr>
        <w:tab/>
      </w:r>
      <w:r>
        <w:rPr>
          <w:noProof/>
        </w:rPr>
        <w:fldChar w:fldCharType="begin"/>
      </w:r>
      <w:r>
        <w:rPr>
          <w:noProof/>
        </w:rPr>
        <w:instrText xml:space="preserve"> PAGEREF _Toc201674484 \h </w:instrText>
      </w:r>
      <w:r>
        <w:rPr>
          <w:noProof/>
        </w:rPr>
      </w:r>
      <w:r>
        <w:rPr>
          <w:noProof/>
        </w:rPr>
        <w:fldChar w:fldCharType="separate"/>
      </w:r>
      <w:r w:rsidR="00980306">
        <w:rPr>
          <w:noProof/>
        </w:rPr>
        <w:t>24</w:t>
      </w:r>
      <w:r>
        <w:rPr>
          <w:noProof/>
        </w:rPr>
        <w:fldChar w:fldCharType="end"/>
      </w:r>
    </w:p>
    <w:p w14:paraId="0AC4AECA" w14:textId="28D1C9F1" w:rsidR="00CF41A8" w:rsidRDefault="00CF41A8">
      <w:pPr>
        <w:pStyle w:val="TOC1"/>
        <w:tabs>
          <w:tab w:val="right" w:leader="dot" w:pos="9350"/>
        </w:tabs>
        <w:rPr>
          <w:rFonts w:asciiTheme="minorHAnsi" w:eastAsiaTheme="minorEastAsia" w:hAnsiTheme="minorHAnsi"/>
          <w:noProof/>
          <w:kern w:val="2"/>
          <w:sz w:val="24"/>
          <w:szCs w:val="24"/>
          <w14:ligatures w14:val="standardContextual"/>
        </w:rPr>
      </w:pPr>
      <w:r w:rsidRPr="00980306">
        <w:rPr>
          <w:rFonts w:eastAsia="Times New Roman"/>
          <w:b/>
          <w:bCs/>
          <w:noProof/>
          <w:lang w:val="en-CA"/>
        </w:rPr>
        <w:t>References</w:t>
      </w:r>
      <w:r>
        <w:rPr>
          <w:noProof/>
        </w:rPr>
        <w:tab/>
      </w:r>
      <w:r>
        <w:rPr>
          <w:noProof/>
        </w:rPr>
        <w:fldChar w:fldCharType="begin"/>
      </w:r>
      <w:r>
        <w:rPr>
          <w:noProof/>
        </w:rPr>
        <w:instrText xml:space="preserve"> PAGEREF _Toc201674485 \h </w:instrText>
      </w:r>
      <w:r>
        <w:rPr>
          <w:noProof/>
        </w:rPr>
      </w:r>
      <w:r>
        <w:rPr>
          <w:noProof/>
        </w:rPr>
        <w:fldChar w:fldCharType="separate"/>
      </w:r>
      <w:r w:rsidR="00980306">
        <w:rPr>
          <w:noProof/>
        </w:rPr>
        <w:t>29</w:t>
      </w:r>
      <w:r>
        <w:rPr>
          <w:noProof/>
        </w:rPr>
        <w:fldChar w:fldCharType="end"/>
      </w:r>
    </w:p>
    <w:p w14:paraId="367221F9" w14:textId="20C61263" w:rsidR="00CF41A8" w:rsidRDefault="00CF41A8">
      <w:pPr>
        <w:pStyle w:val="TOC1"/>
        <w:tabs>
          <w:tab w:val="right" w:leader="dot" w:pos="9350"/>
        </w:tabs>
        <w:rPr>
          <w:rFonts w:asciiTheme="minorHAnsi" w:eastAsiaTheme="minorEastAsia" w:hAnsiTheme="minorHAnsi"/>
          <w:noProof/>
          <w:kern w:val="2"/>
          <w:sz w:val="24"/>
          <w:szCs w:val="24"/>
          <w14:ligatures w14:val="standardContextual"/>
        </w:rPr>
      </w:pPr>
      <w:r w:rsidRPr="00980306">
        <w:rPr>
          <w:b/>
          <w:bCs/>
          <w:noProof/>
        </w:rPr>
        <w:t>Endnotes</w:t>
      </w:r>
      <w:r>
        <w:rPr>
          <w:noProof/>
        </w:rPr>
        <w:tab/>
      </w:r>
      <w:r>
        <w:rPr>
          <w:noProof/>
        </w:rPr>
        <w:fldChar w:fldCharType="begin"/>
      </w:r>
      <w:r>
        <w:rPr>
          <w:noProof/>
        </w:rPr>
        <w:instrText xml:space="preserve"> PAGEREF _Toc201674486 \h </w:instrText>
      </w:r>
      <w:r>
        <w:rPr>
          <w:noProof/>
        </w:rPr>
      </w:r>
      <w:r>
        <w:rPr>
          <w:noProof/>
        </w:rPr>
        <w:fldChar w:fldCharType="separate"/>
      </w:r>
      <w:r w:rsidR="00980306">
        <w:rPr>
          <w:noProof/>
        </w:rPr>
        <w:t>32</w:t>
      </w:r>
      <w:r>
        <w:rPr>
          <w:noProof/>
        </w:rPr>
        <w:fldChar w:fldCharType="end"/>
      </w:r>
    </w:p>
    <w:p w14:paraId="706AC0F0" w14:textId="77777777" w:rsidR="009E48CD" w:rsidRDefault="0035321F" w:rsidP="009E48CD">
      <w:r w:rsidRPr="00B515F2">
        <w:fldChar w:fldCharType="end"/>
      </w:r>
    </w:p>
    <w:p w14:paraId="590ADCE0" w14:textId="77777777" w:rsidR="009E48CD" w:rsidRDefault="009E48CD" w:rsidP="009E48CD"/>
    <w:p w14:paraId="02C35059" w14:textId="77777777" w:rsidR="009E48CD" w:rsidRDefault="009E48CD">
      <w:pPr>
        <w:spacing w:after="160" w:line="259" w:lineRule="auto"/>
        <w:rPr>
          <w:rFonts w:ascii="Aptos SemiBold" w:eastAsiaTheme="majorEastAsia" w:hAnsi="Aptos SemiBold" w:cstheme="majorBidi"/>
          <w:color w:val="3A5A88" w:themeColor="accent1"/>
          <w:sz w:val="40"/>
          <w:szCs w:val="26"/>
        </w:rPr>
      </w:pPr>
      <w:r>
        <w:br w:type="page"/>
      </w:r>
    </w:p>
    <w:p w14:paraId="5150A4A8" w14:textId="5339F07B" w:rsidR="0034275C" w:rsidRDefault="002C377F" w:rsidP="002951CF">
      <w:pPr>
        <w:pStyle w:val="Heading2"/>
      </w:pPr>
      <w:bookmarkStart w:id="8" w:name="_Toc201674477"/>
      <w:r>
        <w:t>A</w:t>
      </w:r>
      <w:r w:rsidR="0034275C">
        <w:t>cronyms</w:t>
      </w:r>
      <w:bookmarkEnd w:id="8"/>
    </w:p>
    <w:p w14:paraId="1CB26713" w14:textId="6BD68C48" w:rsidR="002902DC" w:rsidRPr="002902DC" w:rsidRDefault="002902DC" w:rsidP="0034275C">
      <w:r>
        <w:rPr>
          <w:b/>
          <w:bCs/>
        </w:rPr>
        <w:t>ADHD</w:t>
      </w:r>
      <w:r>
        <w:t>: Attention Deficit Hyperactivity Disorder</w:t>
      </w:r>
    </w:p>
    <w:p w14:paraId="10EA3BB3" w14:textId="579F7E05" w:rsidR="00EA4404" w:rsidRDefault="00EA4404" w:rsidP="0034275C">
      <w:pPr>
        <w:rPr>
          <w:rFonts w:cs="Arial"/>
          <w:lang w:val="en-CA" w:eastAsia="en-CA"/>
        </w:rPr>
      </w:pPr>
      <w:r w:rsidRPr="006C6F06">
        <w:rPr>
          <w:b/>
          <w:bCs/>
        </w:rPr>
        <w:t>CPI</w:t>
      </w:r>
      <w:r>
        <w:t xml:space="preserve">: </w:t>
      </w:r>
      <w:r w:rsidRPr="00E64802">
        <w:t>Crime Prevention Inventory</w:t>
      </w:r>
    </w:p>
    <w:p w14:paraId="7BB0648B" w14:textId="64FA3BCB" w:rsidR="00EA4404" w:rsidRDefault="00EA4404" w:rsidP="0034275C">
      <w:pPr>
        <w:rPr>
          <w:rFonts w:cs="Arial"/>
          <w:lang w:val="en-CA" w:eastAsia="en-CA"/>
        </w:rPr>
      </w:pPr>
      <w:r w:rsidRPr="006C6F06">
        <w:rPr>
          <w:rFonts w:cs="Arial"/>
          <w:b/>
          <w:bCs/>
          <w:lang w:val="en-CA" w:eastAsia="en-CA"/>
        </w:rPr>
        <w:t>GPCSL</w:t>
      </w:r>
      <w:r>
        <w:rPr>
          <w:rFonts w:cs="Arial"/>
          <w:lang w:val="en-CA" w:eastAsia="en-CA"/>
        </w:rPr>
        <w:t xml:space="preserve">: General Personality and Cognitive Social Learning </w:t>
      </w:r>
      <w:r w:rsidR="0099674C">
        <w:rPr>
          <w:rFonts w:cs="Arial"/>
          <w:lang w:val="en-CA" w:eastAsia="en-CA"/>
        </w:rPr>
        <w:t>t</w:t>
      </w:r>
      <w:r>
        <w:rPr>
          <w:rFonts w:cs="Arial"/>
          <w:lang w:val="en-CA" w:eastAsia="en-CA"/>
        </w:rPr>
        <w:t>heory</w:t>
      </w:r>
    </w:p>
    <w:p w14:paraId="6064A214" w14:textId="4A64FE50" w:rsidR="0034275C" w:rsidRDefault="0034275C" w:rsidP="0034275C">
      <w:pPr>
        <w:rPr>
          <w:rFonts w:cs="Arial"/>
          <w:lang w:val="en-CA" w:eastAsia="en-CA"/>
        </w:rPr>
      </w:pPr>
      <w:r w:rsidRPr="006C6F06">
        <w:rPr>
          <w:rFonts w:cs="Arial"/>
          <w:b/>
          <w:bCs/>
          <w:lang w:val="en-CA" w:eastAsia="en-CA"/>
        </w:rPr>
        <w:t>ICAP</w:t>
      </w:r>
      <w:r>
        <w:rPr>
          <w:rFonts w:cs="Arial"/>
          <w:lang w:val="en-CA" w:eastAsia="en-CA"/>
        </w:rPr>
        <w:t xml:space="preserve">: Integrated Cognitive Antisocial Potential </w:t>
      </w:r>
      <w:r w:rsidR="0099674C">
        <w:rPr>
          <w:rFonts w:cs="Arial"/>
          <w:lang w:val="en-CA" w:eastAsia="en-CA"/>
        </w:rPr>
        <w:t>t</w:t>
      </w:r>
      <w:r>
        <w:rPr>
          <w:rFonts w:cs="Arial"/>
          <w:lang w:val="en-CA" w:eastAsia="en-CA"/>
        </w:rPr>
        <w:t>heory</w:t>
      </w:r>
    </w:p>
    <w:p w14:paraId="48A178A3" w14:textId="7B30C312" w:rsidR="00EA4404" w:rsidRDefault="00EA4404" w:rsidP="0034275C">
      <w:pPr>
        <w:rPr>
          <w:rFonts w:cs="Arial"/>
          <w:lang w:val="en-CA" w:eastAsia="en-CA"/>
        </w:rPr>
      </w:pPr>
      <w:r w:rsidRPr="006C6F06">
        <w:rPr>
          <w:rFonts w:cs="Arial"/>
          <w:b/>
          <w:bCs/>
          <w:lang w:val="en-CA" w:eastAsia="en-CA"/>
        </w:rPr>
        <w:t>MST</w:t>
      </w:r>
      <w:r>
        <w:rPr>
          <w:rFonts w:cs="Arial"/>
          <w:lang w:val="en-CA" w:eastAsia="en-CA"/>
        </w:rPr>
        <w:t>: Multisystemic Therapy</w:t>
      </w:r>
    </w:p>
    <w:p w14:paraId="7570A8DC" w14:textId="1173C3F7" w:rsidR="00EA4404" w:rsidRDefault="00EA4404" w:rsidP="0034275C">
      <w:pPr>
        <w:rPr>
          <w:rFonts w:cs="Arial"/>
          <w:lang w:val="en-CA" w:eastAsia="en-CA"/>
        </w:rPr>
      </w:pPr>
      <w:r w:rsidRPr="006C6F06">
        <w:rPr>
          <w:rFonts w:cs="Arial"/>
          <w:b/>
          <w:bCs/>
          <w:lang w:val="en-CA" w:eastAsia="en-CA"/>
        </w:rPr>
        <w:t>NCP</w:t>
      </w:r>
      <w:r w:rsidR="0095695B">
        <w:rPr>
          <w:rFonts w:cs="Arial"/>
          <w:b/>
          <w:bCs/>
          <w:lang w:val="en-CA" w:eastAsia="en-CA"/>
        </w:rPr>
        <w:t>I</w:t>
      </w:r>
      <w:r>
        <w:rPr>
          <w:rFonts w:cs="Arial"/>
          <w:lang w:val="en-CA" w:eastAsia="en-CA"/>
        </w:rPr>
        <w:t>: National Crime Prevention Inventory</w:t>
      </w:r>
    </w:p>
    <w:p w14:paraId="2213167D" w14:textId="5450F2A7" w:rsidR="00EA4404" w:rsidRDefault="00EA4404" w:rsidP="0034275C">
      <w:pPr>
        <w:rPr>
          <w:rFonts w:cs="Arial"/>
          <w:lang w:val="en-CA" w:eastAsia="en-CA"/>
        </w:rPr>
      </w:pPr>
      <w:r w:rsidRPr="006C6F06">
        <w:rPr>
          <w:b/>
          <w:bCs/>
        </w:rPr>
        <w:t>PSIMS</w:t>
      </w:r>
      <w:r>
        <w:t xml:space="preserve">: </w:t>
      </w:r>
      <w:r w:rsidRPr="00E64802">
        <w:t>Public Safety Information Management System</w:t>
      </w:r>
    </w:p>
    <w:p w14:paraId="52A9E0BD" w14:textId="4575151F" w:rsidR="00EA4404" w:rsidRDefault="00EA4404" w:rsidP="0034275C">
      <w:pPr>
        <w:rPr>
          <w:rFonts w:cs="Arial"/>
          <w:lang w:val="en-CA" w:eastAsia="en-CA"/>
        </w:rPr>
      </w:pPr>
      <w:r w:rsidRPr="006C6F06">
        <w:rPr>
          <w:rFonts w:cs="Arial"/>
          <w:b/>
          <w:bCs/>
          <w:lang w:val="en-CA" w:eastAsia="en-CA"/>
        </w:rPr>
        <w:t>SNAP</w:t>
      </w:r>
      <w:r>
        <w:rPr>
          <w:rFonts w:cs="Arial"/>
          <w:lang w:val="en-CA" w:eastAsia="en-CA"/>
        </w:rPr>
        <w:t xml:space="preserve">®: Stop Now And Plan </w:t>
      </w:r>
    </w:p>
    <w:p w14:paraId="4729D8BA" w14:textId="1116C7AD" w:rsidR="00EA4404" w:rsidRDefault="00EA4404" w:rsidP="0034275C">
      <w:pPr>
        <w:rPr>
          <w:rFonts w:cs="Arial"/>
          <w:lang w:val="en-CA" w:eastAsia="en-CA"/>
        </w:rPr>
      </w:pPr>
      <w:r w:rsidRPr="006C6F06">
        <w:rPr>
          <w:rFonts w:cs="Arial"/>
          <w:b/>
          <w:bCs/>
          <w:lang w:val="en-CA" w:eastAsia="en-CA"/>
        </w:rPr>
        <w:t>YIP</w:t>
      </w:r>
      <w:r>
        <w:rPr>
          <w:rFonts w:cs="Arial"/>
          <w:lang w:val="en-CA" w:eastAsia="en-CA"/>
        </w:rPr>
        <w:t>: Youth Inclusion Program</w:t>
      </w:r>
    </w:p>
    <w:p w14:paraId="6AF8A186" w14:textId="77777777" w:rsidR="00EA4404" w:rsidRPr="0034275C" w:rsidRDefault="00EA4404" w:rsidP="0034275C"/>
    <w:p w14:paraId="0B0DAD9A" w14:textId="77777777" w:rsidR="0034275C" w:rsidRDefault="0034275C">
      <w:pPr>
        <w:spacing w:after="160" w:line="259" w:lineRule="auto"/>
        <w:rPr>
          <w:rFonts w:ascii="Aptos SemiBold" w:eastAsiaTheme="majorEastAsia" w:hAnsi="Aptos SemiBold" w:cstheme="majorBidi"/>
          <w:color w:val="3A5A88" w:themeColor="accent1"/>
          <w:sz w:val="40"/>
          <w:szCs w:val="26"/>
        </w:rPr>
      </w:pPr>
      <w:r>
        <w:br w:type="page"/>
      </w:r>
    </w:p>
    <w:p w14:paraId="124D3DE9" w14:textId="08AA5F10" w:rsidR="00325B88" w:rsidRDefault="00CD5DC0" w:rsidP="002951CF">
      <w:pPr>
        <w:pStyle w:val="Heading2"/>
      </w:pPr>
      <w:bookmarkStart w:id="9" w:name="_Toc201674478"/>
      <w:r>
        <w:t>Introduction</w:t>
      </w:r>
      <w:bookmarkEnd w:id="9"/>
    </w:p>
    <w:p w14:paraId="797420FB" w14:textId="77A83E40" w:rsidR="00CD5DC0" w:rsidRPr="00C76C00" w:rsidRDefault="00CD5DC0" w:rsidP="00CD5DC0">
      <w:pPr>
        <w:rPr>
          <w:lang w:val="en-CA" w:eastAsia="en-CA"/>
        </w:rPr>
      </w:pPr>
      <w:r w:rsidRPr="00A653CD">
        <w:rPr>
          <w:lang w:val="en-CA" w:eastAsia="en-CA"/>
        </w:rPr>
        <w:t xml:space="preserve">This methodological companion is designed to provide additional context and </w:t>
      </w:r>
      <w:r w:rsidR="0099674C">
        <w:rPr>
          <w:lang w:val="en-CA" w:eastAsia="en-CA"/>
        </w:rPr>
        <w:t>information on</w:t>
      </w:r>
      <w:r w:rsidRPr="00A653CD">
        <w:rPr>
          <w:lang w:val="en-CA" w:eastAsia="en-CA"/>
        </w:rPr>
        <w:t xml:space="preserve"> the</w:t>
      </w:r>
      <w:r>
        <w:rPr>
          <w:lang w:val="en-CA" w:eastAsia="en-CA"/>
        </w:rPr>
        <w:t xml:space="preserve"> guiding</w:t>
      </w:r>
      <w:r w:rsidRPr="00A653CD">
        <w:rPr>
          <w:lang w:val="en-CA" w:eastAsia="en-CA"/>
        </w:rPr>
        <w:t xml:space="preserve"> frameworks, key assumptions, and </w:t>
      </w:r>
      <w:r>
        <w:rPr>
          <w:lang w:val="en-CA" w:eastAsia="en-CA"/>
        </w:rPr>
        <w:t>calculations</w:t>
      </w:r>
      <w:r w:rsidRPr="00A653CD">
        <w:rPr>
          <w:lang w:val="en-CA" w:eastAsia="en-CA"/>
        </w:rPr>
        <w:t xml:space="preserve"> </w:t>
      </w:r>
      <w:r>
        <w:rPr>
          <w:lang w:val="en-CA" w:eastAsia="en-CA"/>
        </w:rPr>
        <w:t>made</w:t>
      </w:r>
      <w:r w:rsidRPr="00A653CD">
        <w:rPr>
          <w:lang w:val="en-CA" w:eastAsia="en-CA"/>
        </w:rPr>
        <w:t xml:space="preserve"> in the </w:t>
      </w:r>
      <w:r>
        <w:rPr>
          <w:lang w:val="en-CA" w:eastAsia="en-CA"/>
        </w:rPr>
        <w:t>202</w:t>
      </w:r>
      <w:r w:rsidR="00382979">
        <w:rPr>
          <w:lang w:val="en-CA" w:eastAsia="en-CA"/>
        </w:rPr>
        <w:t>6</w:t>
      </w:r>
      <w:r w:rsidRPr="00A653CD">
        <w:rPr>
          <w:lang w:val="en-CA" w:eastAsia="en-CA"/>
        </w:rPr>
        <w:t xml:space="preserve"> </w:t>
      </w:r>
      <w:r w:rsidRPr="00CD5DC0">
        <w:rPr>
          <w:lang w:val="en-CA" w:eastAsia="en-CA"/>
        </w:rPr>
        <w:t>Tyler’s Story report</w:t>
      </w:r>
      <w:r w:rsidRPr="00A653CD">
        <w:rPr>
          <w:lang w:val="en-CA" w:eastAsia="en-CA"/>
        </w:rPr>
        <w:t xml:space="preserve">. </w:t>
      </w:r>
    </w:p>
    <w:p w14:paraId="7543EB9C" w14:textId="6BA80828" w:rsidR="00CD5DC0" w:rsidRDefault="00CD5DC0" w:rsidP="00CD5DC0">
      <w:pPr>
        <w:rPr>
          <w:lang w:val="en-CA" w:eastAsia="en-CA"/>
        </w:rPr>
      </w:pPr>
      <w:r>
        <w:rPr>
          <w:lang w:val="en-CA" w:eastAsia="en-CA"/>
        </w:rPr>
        <w:t>The</w:t>
      </w:r>
      <w:r w:rsidRPr="00A653CD">
        <w:rPr>
          <w:lang w:val="en-CA" w:eastAsia="en-CA"/>
        </w:rPr>
        <w:t xml:space="preserve"> Tyler’s Story report illustrates how an overwhelming collection of risk factors, </w:t>
      </w:r>
      <w:r w:rsidR="00431C07">
        <w:rPr>
          <w:lang w:val="en-CA" w:eastAsia="en-CA"/>
        </w:rPr>
        <w:t xml:space="preserve">including </w:t>
      </w:r>
      <w:r w:rsidR="00A572E4">
        <w:rPr>
          <w:lang w:val="en-CA" w:eastAsia="en-CA"/>
        </w:rPr>
        <w:t>early-life experiences</w:t>
      </w:r>
      <w:r w:rsidRPr="00A653CD">
        <w:rPr>
          <w:lang w:val="en-CA" w:eastAsia="en-CA"/>
        </w:rPr>
        <w:t xml:space="preserve">, can steer a young person down a pathway of continued </w:t>
      </w:r>
      <w:r w:rsidR="0099674C">
        <w:rPr>
          <w:lang w:val="en-CA" w:eastAsia="en-CA"/>
        </w:rPr>
        <w:t>justice involvement</w:t>
      </w:r>
      <w:r w:rsidRPr="00A653CD">
        <w:rPr>
          <w:lang w:val="en-CA" w:eastAsia="en-CA"/>
        </w:rPr>
        <w:t>.</w:t>
      </w:r>
      <w:r w:rsidR="0099674C" w:rsidRPr="0013141C">
        <w:rPr>
          <w:rFonts w:cs="Arial"/>
          <w:vertAlign w:val="superscript"/>
          <w:lang w:val="en-CA" w:eastAsia="en-CA"/>
        </w:rPr>
        <w:footnoteReference w:id="2"/>
      </w:r>
      <w:r w:rsidR="0099674C">
        <w:rPr>
          <w:rFonts w:cs="Arial"/>
          <w:lang w:val="en-CA" w:eastAsia="en-CA"/>
        </w:rPr>
        <w:t xml:space="preserve"> </w:t>
      </w:r>
      <w:r w:rsidRPr="00A653CD">
        <w:rPr>
          <w:lang w:val="en-CA" w:eastAsia="en-CA"/>
        </w:rPr>
        <w:t xml:space="preserve"> The</w:t>
      </w:r>
      <w:r>
        <w:rPr>
          <w:lang w:val="en-CA" w:eastAsia="en-CA"/>
        </w:rPr>
        <w:t xml:space="preserve"> </w:t>
      </w:r>
      <w:r w:rsidRPr="00A653CD">
        <w:rPr>
          <w:lang w:val="en-CA" w:eastAsia="en-CA"/>
        </w:rPr>
        <w:t xml:space="preserve">report shows how youth like Tyler could be diverted from </w:t>
      </w:r>
      <w:r w:rsidR="0099674C" w:rsidRPr="0099674C">
        <w:rPr>
          <w:lang w:val="en-CA" w:eastAsia="en-CA"/>
        </w:rPr>
        <w:t>continued criminal behaviour</w:t>
      </w:r>
      <w:r w:rsidR="006F7285" w:rsidRPr="0013141C">
        <w:rPr>
          <w:rFonts w:cs="Arial"/>
          <w:vertAlign w:val="superscript"/>
          <w:lang w:val="en-CA" w:eastAsia="en-CA"/>
        </w:rPr>
        <w:footnoteReference w:id="3"/>
      </w:r>
      <w:r w:rsidR="0099674C">
        <w:rPr>
          <w:lang w:val="en-CA" w:eastAsia="en-CA"/>
        </w:rPr>
        <w:t xml:space="preserve"> </w:t>
      </w:r>
      <w:r w:rsidRPr="00A653CD">
        <w:rPr>
          <w:lang w:val="en-CA" w:eastAsia="en-CA"/>
        </w:rPr>
        <w:t>through programs that reduce or mitigate risk factors</w:t>
      </w:r>
      <w:r w:rsidR="00652A31">
        <w:rPr>
          <w:lang w:val="en-CA" w:eastAsia="en-CA"/>
        </w:rPr>
        <w:t xml:space="preserve">. It also illustrates </w:t>
      </w:r>
      <w:r w:rsidRPr="00A653CD">
        <w:rPr>
          <w:lang w:val="en-CA" w:eastAsia="en-CA"/>
        </w:rPr>
        <w:t>the possible cost savings associated with the use of effective crime prevention programming.</w:t>
      </w:r>
    </w:p>
    <w:p w14:paraId="1CF486D0" w14:textId="53986745" w:rsidR="00D660D6" w:rsidRPr="00076506" w:rsidRDefault="00D660D6" w:rsidP="00CD5DC0">
      <w:pPr>
        <w:rPr>
          <w:rFonts w:cs="Arial"/>
          <w:lang w:eastAsia="en-CA"/>
        </w:rPr>
      </w:pPr>
      <w:r>
        <w:rPr>
          <w:rFonts w:cs="Arial"/>
          <w:lang w:eastAsia="en-CA"/>
        </w:rPr>
        <w:t xml:space="preserve">This methodological companion begins by outlining the role of risk factors in Tyler’s Story; specifically, how an understanding of these factors contributes to a better understanding of the criminal behaviour and crime prevention interventions that occur during the Story. It explores the frameworks that support the identification of risk factors in Tyler’s Story. The companion also details the costing calculus, including the rationale for included and excluded costs, calculations and key assumptions made, and search parameters. It concludes with costing information for the three profiled crime prevention programs, cost-benefit insights, and data limitations. </w:t>
      </w:r>
    </w:p>
    <w:p w14:paraId="1C380D53" w14:textId="77777777" w:rsidR="00CD5DC0" w:rsidRDefault="00CD5DC0" w:rsidP="00CD5DC0">
      <w:pPr>
        <w:pStyle w:val="Heading2"/>
        <w:rPr>
          <w:lang w:eastAsia="en-CA"/>
        </w:rPr>
      </w:pPr>
      <w:bookmarkStart w:id="10" w:name="_Toc189579947"/>
      <w:bookmarkStart w:id="11" w:name="_Toc201674479"/>
      <w:r>
        <w:rPr>
          <w:lang w:eastAsia="en-CA"/>
        </w:rPr>
        <w:t>Methodology</w:t>
      </w:r>
      <w:bookmarkEnd w:id="10"/>
      <w:bookmarkEnd w:id="11"/>
    </w:p>
    <w:p w14:paraId="2D63FC66" w14:textId="4801731D" w:rsidR="00CD5DC0" w:rsidRDefault="00CD5DC0" w:rsidP="00CD5DC0">
      <w:pPr>
        <w:rPr>
          <w:rFonts w:cs="Arial"/>
          <w:lang w:eastAsia="en-CA"/>
        </w:rPr>
      </w:pPr>
      <w:r>
        <w:rPr>
          <w:rFonts w:cs="Arial"/>
          <w:lang w:eastAsia="en-CA"/>
        </w:rPr>
        <w:t>The Tyler’s Story report is</w:t>
      </w:r>
      <w:r w:rsidRPr="0013141C">
        <w:rPr>
          <w:rFonts w:cs="Arial"/>
          <w:lang w:eastAsia="en-CA"/>
        </w:rPr>
        <w:t xml:space="preserve"> an updated version of </w:t>
      </w:r>
      <w:r w:rsidR="00652A31">
        <w:rPr>
          <w:rFonts w:cs="Arial"/>
          <w:lang w:eastAsia="en-CA"/>
        </w:rPr>
        <w:t>a</w:t>
      </w:r>
      <w:r w:rsidRPr="0013141C">
        <w:rPr>
          <w:rFonts w:cs="Arial"/>
          <w:lang w:eastAsia="en-CA"/>
        </w:rPr>
        <w:t xml:space="preserve"> 2016 </w:t>
      </w:r>
      <w:r w:rsidR="00652A31">
        <w:rPr>
          <w:rFonts w:cs="Arial"/>
          <w:lang w:eastAsia="en-CA"/>
        </w:rPr>
        <w:t xml:space="preserve">Public Safety Canada </w:t>
      </w:r>
      <w:r w:rsidRPr="0013141C">
        <w:rPr>
          <w:rFonts w:cs="Arial"/>
          <w:lang w:eastAsia="en-CA"/>
        </w:rPr>
        <w:t>publication</w:t>
      </w:r>
      <w:r>
        <w:rPr>
          <w:rFonts w:cs="Arial"/>
          <w:lang w:eastAsia="en-CA"/>
        </w:rPr>
        <w:t xml:space="preserve"> titled </w:t>
      </w:r>
      <w:hyperlink r:id="rId22" w:history="1">
        <w:r w:rsidRPr="00EA4EBF">
          <w:rPr>
            <w:rStyle w:val="Hyperlink"/>
            <w:rFonts w:cs="Arial"/>
            <w:i/>
            <w:iCs/>
            <w:lang w:eastAsia="en-CA"/>
          </w:rPr>
          <w:t>Tyler’s Troubled Life</w:t>
        </w:r>
      </w:hyperlink>
      <w:r w:rsidRPr="0013141C">
        <w:rPr>
          <w:rFonts w:cs="Arial"/>
          <w:lang w:eastAsia="en-CA"/>
        </w:rPr>
        <w:t>. The updates were necessary to reflect the evolving Canadian crime and justice context</w:t>
      </w:r>
      <w:r w:rsidR="00652A31">
        <w:rPr>
          <w:rFonts w:cs="Arial"/>
          <w:lang w:eastAsia="en-CA"/>
        </w:rPr>
        <w:t>.</w:t>
      </w:r>
      <w:r w:rsidRPr="0013141C">
        <w:rPr>
          <w:rFonts w:cs="Arial"/>
          <w:lang w:eastAsia="en-CA"/>
        </w:rPr>
        <w:t xml:space="preserve"> </w:t>
      </w:r>
      <w:r w:rsidR="00652A31">
        <w:rPr>
          <w:rFonts w:cs="Arial"/>
          <w:lang w:eastAsia="en-CA"/>
        </w:rPr>
        <w:t>It was also an opportunity to integrate</w:t>
      </w:r>
      <w:r w:rsidRPr="0013141C">
        <w:rPr>
          <w:rFonts w:cs="Arial"/>
          <w:lang w:eastAsia="en-CA"/>
        </w:rPr>
        <w:t xml:space="preserve"> new data and </w:t>
      </w:r>
      <w:r>
        <w:rPr>
          <w:rFonts w:cs="Arial"/>
          <w:lang w:eastAsia="en-CA"/>
        </w:rPr>
        <w:t>insights</w:t>
      </w:r>
      <w:r w:rsidRPr="0013141C">
        <w:rPr>
          <w:rFonts w:cs="Arial"/>
          <w:lang w:eastAsia="en-CA"/>
        </w:rPr>
        <w:t xml:space="preserve"> observed since the original </w:t>
      </w:r>
      <w:r>
        <w:rPr>
          <w:rFonts w:cs="Arial"/>
          <w:lang w:eastAsia="en-CA"/>
        </w:rPr>
        <w:t>publication</w:t>
      </w:r>
      <w:r w:rsidR="00652A31">
        <w:rPr>
          <w:rFonts w:cs="Arial"/>
          <w:lang w:eastAsia="en-CA"/>
        </w:rPr>
        <w:t xml:space="preserve"> along with cost-benefit analyses for the crime prevention interventions</w:t>
      </w:r>
      <w:r w:rsidRPr="0013141C">
        <w:rPr>
          <w:rFonts w:cs="Arial"/>
          <w:lang w:eastAsia="en-CA"/>
        </w:rPr>
        <w:t xml:space="preserve">. </w:t>
      </w:r>
      <w:r w:rsidR="00CD5475">
        <w:rPr>
          <w:rFonts w:cs="Arial"/>
          <w:lang w:eastAsia="en-CA"/>
        </w:rPr>
        <w:t>With</w:t>
      </w:r>
      <w:r w:rsidR="00CD5475" w:rsidRPr="0013141C">
        <w:rPr>
          <w:rFonts w:cs="Arial"/>
          <w:lang w:eastAsia="en-CA"/>
        </w:rPr>
        <w:t xml:space="preserve"> </w:t>
      </w:r>
      <w:r w:rsidRPr="0013141C">
        <w:rPr>
          <w:rFonts w:cs="Arial"/>
          <w:lang w:eastAsia="en-CA"/>
        </w:rPr>
        <w:t xml:space="preserve">these updates, </w:t>
      </w:r>
      <w:r>
        <w:rPr>
          <w:rFonts w:cs="Arial"/>
          <w:lang w:eastAsia="en-CA"/>
        </w:rPr>
        <w:t>Tyler’s Story</w:t>
      </w:r>
      <w:r w:rsidRPr="0013141C">
        <w:rPr>
          <w:rFonts w:cs="Arial"/>
          <w:lang w:eastAsia="en-CA"/>
        </w:rPr>
        <w:t xml:space="preserve"> provide</w:t>
      </w:r>
      <w:r w:rsidR="00652A31">
        <w:rPr>
          <w:rFonts w:cs="Arial"/>
          <w:lang w:eastAsia="en-CA"/>
        </w:rPr>
        <w:t>s</w:t>
      </w:r>
      <w:r w:rsidRPr="0013141C">
        <w:rPr>
          <w:rFonts w:cs="Arial"/>
          <w:lang w:eastAsia="en-CA"/>
        </w:rPr>
        <w:t xml:space="preserve"> a</w:t>
      </w:r>
      <w:r w:rsidR="00652A31">
        <w:rPr>
          <w:rFonts w:cs="Arial"/>
          <w:lang w:eastAsia="en-CA"/>
        </w:rPr>
        <w:t xml:space="preserve"> compelling </w:t>
      </w:r>
      <w:r w:rsidRPr="0013141C">
        <w:rPr>
          <w:rFonts w:cs="Arial"/>
          <w:lang w:eastAsia="en-CA"/>
        </w:rPr>
        <w:t xml:space="preserve">and relevant </w:t>
      </w:r>
      <w:r w:rsidR="00D660D6">
        <w:rPr>
          <w:rFonts w:cs="Arial"/>
          <w:lang w:eastAsia="en-CA"/>
        </w:rPr>
        <w:t>glimpse</w:t>
      </w:r>
      <w:r w:rsidR="00CD5475">
        <w:rPr>
          <w:rFonts w:cs="Arial"/>
          <w:lang w:eastAsia="en-CA"/>
        </w:rPr>
        <w:t xml:space="preserve"> into</w:t>
      </w:r>
      <w:r w:rsidRPr="0013141C">
        <w:rPr>
          <w:rFonts w:cs="Arial"/>
          <w:lang w:eastAsia="en-CA"/>
        </w:rPr>
        <w:t xml:space="preserve"> the current landscape</w:t>
      </w:r>
      <w:r w:rsidR="00CD5475">
        <w:rPr>
          <w:rFonts w:cs="Arial"/>
          <w:lang w:eastAsia="en-CA"/>
        </w:rPr>
        <w:t xml:space="preserve"> of youth crime in Canada, the factors that lead to it, and programs that may prevent it</w:t>
      </w:r>
      <w:r w:rsidRPr="0013141C">
        <w:rPr>
          <w:rFonts w:cs="Arial"/>
          <w:lang w:eastAsia="en-CA"/>
        </w:rPr>
        <w:t>.</w:t>
      </w:r>
    </w:p>
    <w:p w14:paraId="18DE05EE" w14:textId="58A56A24" w:rsidR="00CD5DC0" w:rsidRDefault="00CD5DC0" w:rsidP="00CD5DC0">
      <w:pPr>
        <w:pStyle w:val="Heading3"/>
        <w:rPr>
          <w:lang w:val="en-CA" w:eastAsia="en-CA"/>
        </w:rPr>
      </w:pPr>
      <w:bookmarkStart w:id="12" w:name="_Toc189579948"/>
      <w:bookmarkStart w:id="13" w:name="_Toc201674480"/>
      <w:r>
        <w:rPr>
          <w:lang w:val="en-CA" w:eastAsia="en-CA"/>
        </w:rPr>
        <w:t>Risk factors</w:t>
      </w:r>
      <w:bookmarkEnd w:id="12"/>
      <w:r w:rsidR="008951B2">
        <w:rPr>
          <w:lang w:val="en-CA" w:eastAsia="en-CA"/>
        </w:rPr>
        <w:t xml:space="preserve"> and crime prevention</w:t>
      </w:r>
      <w:bookmarkEnd w:id="13"/>
    </w:p>
    <w:p w14:paraId="189628CC" w14:textId="51B7C9EE" w:rsidR="00CD5DC0" w:rsidRDefault="00CD5DC0" w:rsidP="00CD5DC0">
      <w:pPr>
        <w:rPr>
          <w:rFonts w:cs="Arial"/>
          <w:lang w:val="en-CA" w:eastAsia="en-CA"/>
        </w:rPr>
      </w:pPr>
      <w:r w:rsidRPr="0013141C">
        <w:rPr>
          <w:rFonts w:cs="Arial"/>
          <w:lang w:val="en-CA" w:eastAsia="en-CA"/>
        </w:rPr>
        <w:t>No single factor explains why some youth become justice-involved</w:t>
      </w:r>
      <w:r>
        <w:rPr>
          <w:rFonts w:cs="Arial"/>
          <w:lang w:val="en-CA" w:eastAsia="en-CA"/>
        </w:rPr>
        <w:t>. An</w:t>
      </w:r>
      <w:r w:rsidRPr="0013141C">
        <w:rPr>
          <w:rFonts w:cs="Arial"/>
          <w:lang w:val="en-CA" w:eastAsia="en-CA"/>
        </w:rPr>
        <w:t xml:space="preserve"> understanding of the range of factors that put youth at risk of criminal behaviour</w:t>
      </w:r>
      <w:r>
        <w:rPr>
          <w:rFonts w:cs="Arial"/>
          <w:lang w:val="en-CA" w:eastAsia="en-CA"/>
        </w:rPr>
        <w:t xml:space="preserve"> </w:t>
      </w:r>
      <w:r w:rsidRPr="0013141C">
        <w:rPr>
          <w:rFonts w:cs="Arial"/>
          <w:lang w:val="en-CA" w:eastAsia="en-CA"/>
        </w:rPr>
        <w:t xml:space="preserve">is important for the development of comprehensive and effective strategies to reduce crime; to enhance public safety; and to improve </w:t>
      </w:r>
      <w:r w:rsidR="0057518D">
        <w:rPr>
          <w:rFonts w:cs="Arial"/>
          <w:lang w:val="en-CA" w:eastAsia="en-CA"/>
        </w:rPr>
        <w:t>outcomes</w:t>
      </w:r>
      <w:r w:rsidRPr="0013141C">
        <w:rPr>
          <w:rFonts w:cs="Arial"/>
          <w:lang w:val="en-CA" w:eastAsia="en-CA"/>
        </w:rPr>
        <w:t xml:space="preserve"> of those at-risk of justice involvement.</w:t>
      </w:r>
      <w:r>
        <w:rPr>
          <w:rFonts w:cs="Arial"/>
          <w:lang w:val="en-CA" w:eastAsia="en-CA"/>
        </w:rPr>
        <w:t xml:space="preserve"> </w:t>
      </w:r>
      <w:r w:rsidR="00A84FAA" w:rsidRPr="00432DAE">
        <w:rPr>
          <w:rFonts w:cs="Arial"/>
          <w:lang w:val="en-CA" w:eastAsia="en-CA"/>
        </w:rPr>
        <w:t xml:space="preserve">The purpose of Tyler’s </w:t>
      </w:r>
      <w:r w:rsidR="00660FE1">
        <w:rPr>
          <w:rFonts w:cs="Arial"/>
          <w:lang w:val="en-CA" w:eastAsia="en-CA"/>
        </w:rPr>
        <w:t>s</w:t>
      </w:r>
      <w:r w:rsidR="00A84FAA" w:rsidRPr="00432DAE">
        <w:rPr>
          <w:rFonts w:cs="Arial"/>
          <w:lang w:val="en-CA" w:eastAsia="en-CA"/>
        </w:rPr>
        <w:t xml:space="preserve">tory </w:t>
      </w:r>
      <w:r w:rsidR="007E1322" w:rsidRPr="00432DAE">
        <w:rPr>
          <w:rFonts w:cs="Arial"/>
          <w:lang w:val="en-CA" w:eastAsia="en-CA"/>
        </w:rPr>
        <w:t>is to explore the complex risk factors for lifelong criminal involvement</w:t>
      </w:r>
      <w:r w:rsidR="008951B2" w:rsidRPr="00F039BF">
        <w:rPr>
          <w:rFonts w:cs="Arial"/>
          <w:lang w:val="en-CA" w:eastAsia="en-CA"/>
        </w:rPr>
        <w:t xml:space="preserve"> </w:t>
      </w:r>
      <w:r w:rsidR="007E1322" w:rsidRPr="00432DAE">
        <w:rPr>
          <w:rFonts w:cs="Arial"/>
          <w:lang w:val="en-CA" w:eastAsia="en-CA"/>
        </w:rPr>
        <w:t xml:space="preserve">and highlight crime prevention </w:t>
      </w:r>
      <w:r w:rsidR="00D81D56" w:rsidRPr="00F039BF">
        <w:rPr>
          <w:rFonts w:cs="Arial"/>
          <w:lang w:val="en-CA" w:eastAsia="en-CA"/>
        </w:rPr>
        <w:t xml:space="preserve">strategies and </w:t>
      </w:r>
      <w:r w:rsidR="007E1322" w:rsidRPr="00432DAE">
        <w:rPr>
          <w:rFonts w:cs="Arial"/>
          <w:lang w:val="en-CA" w:eastAsia="en-CA"/>
        </w:rPr>
        <w:t>programs that may have been useful to mitigate Tyler’s risk of offending</w:t>
      </w:r>
      <w:r w:rsidR="007E1322" w:rsidRPr="00F039BF">
        <w:rPr>
          <w:rFonts w:cs="Arial"/>
          <w:lang w:val="en-CA" w:eastAsia="en-CA"/>
        </w:rPr>
        <w:t xml:space="preserve"> throughout his </w:t>
      </w:r>
      <w:r w:rsidR="00962D8F" w:rsidRPr="00F039BF">
        <w:rPr>
          <w:rFonts w:cs="Arial"/>
          <w:lang w:val="en-CA" w:eastAsia="en-CA"/>
        </w:rPr>
        <w:t>life</w:t>
      </w:r>
      <w:r w:rsidR="007E1322" w:rsidRPr="00432DAE">
        <w:rPr>
          <w:rFonts w:cs="Arial"/>
          <w:lang w:val="en-CA" w:eastAsia="en-CA"/>
        </w:rPr>
        <w:t>.</w:t>
      </w:r>
    </w:p>
    <w:p w14:paraId="0B48CEDE" w14:textId="12CA8F13" w:rsidR="005D28D3" w:rsidRPr="00742AE9" w:rsidRDefault="008951B2" w:rsidP="00D660D6">
      <w:pPr>
        <w:pStyle w:val="Heading4"/>
        <w:rPr>
          <w:lang w:eastAsia="en-CA"/>
        </w:rPr>
      </w:pPr>
      <w:r w:rsidRPr="00742AE9">
        <w:rPr>
          <w:lang w:eastAsia="en-CA"/>
        </w:rPr>
        <w:t>Approaches to crime prevention</w:t>
      </w:r>
    </w:p>
    <w:p w14:paraId="3BA7618A" w14:textId="33D131DE" w:rsidR="006B67D2" w:rsidRDefault="00A34280" w:rsidP="00DE33EC">
      <w:pPr>
        <w:rPr>
          <w:lang w:eastAsia="en-CA"/>
        </w:rPr>
      </w:pPr>
      <w:r>
        <w:rPr>
          <w:lang w:eastAsia="en-CA"/>
        </w:rPr>
        <w:t>Among youth, there are three approaches to crime prevention</w:t>
      </w:r>
      <w:r w:rsidR="004D0219">
        <w:rPr>
          <w:lang w:eastAsia="en-CA"/>
        </w:rPr>
        <w:t xml:space="preserve"> that can be used</w:t>
      </w:r>
      <w:r>
        <w:rPr>
          <w:lang w:eastAsia="en-CA"/>
        </w:rPr>
        <w:t xml:space="preserve"> depending on </w:t>
      </w:r>
      <w:r w:rsidR="006F7285">
        <w:rPr>
          <w:lang w:eastAsia="en-CA"/>
        </w:rPr>
        <w:t>an individual’s</w:t>
      </w:r>
      <w:r w:rsidR="004E158A">
        <w:rPr>
          <w:lang w:eastAsia="en-CA"/>
        </w:rPr>
        <w:t xml:space="preserve"> </w:t>
      </w:r>
      <w:r w:rsidR="00746382">
        <w:rPr>
          <w:lang w:eastAsia="en-CA"/>
        </w:rPr>
        <w:t xml:space="preserve">current </w:t>
      </w:r>
      <w:r>
        <w:rPr>
          <w:lang w:eastAsia="en-CA"/>
        </w:rPr>
        <w:t xml:space="preserve">risk level. </w:t>
      </w:r>
      <w:r w:rsidRPr="00DA55B8">
        <w:rPr>
          <w:b/>
          <w:bCs/>
          <w:lang w:eastAsia="en-CA"/>
        </w:rPr>
        <w:t>Primary</w:t>
      </w:r>
      <w:r>
        <w:rPr>
          <w:lang w:eastAsia="en-CA"/>
        </w:rPr>
        <w:t xml:space="preserve"> </w:t>
      </w:r>
      <w:r w:rsidRPr="00DA55B8">
        <w:rPr>
          <w:b/>
          <w:bCs/>
          <w:lang w:eastAsia="en-CA"/>
        </w:rPr>
        <w:t>interventions</w:t>
      </w:r>
      <w:r>
        <w:rPr>
          <w:lang w:eastAsia="en-CA"/>
        </w:rPr>
        <w:t xml:space="preserve"> are used to target</w:t>
      </w:r>
      <w:r w:rsidR="007D49E8">
        <w:rPr>
          <w:lang w:eastAsia="en-CA"/>
        </w:rPr>
        <w:t xml:space="preserve"> </w:t>
      </w:r>
      <w:r w:rsidR="0070576F">
        <w:rPr>
          <w:lang w:eastAsia="en-CA"/>
        </w:rPr>
        <w:t xml:space="preserve">situational and societal factors in </w:t>
      </w:r>
      <w:r w:rsidR="007D49E8">
        <w:rPr>
          <w:lang w:eastAsia="en-CA"/>
        </w:rPr>
        <w:t xml:space="preserve">early-life </w:t>
      </w:r>
      <w:r w:rsidR="0070576F">
        <w:rPr>
          <w:lang w:eastAsia="en-CA"/>
        </w:rPr>
        <w:t xml:space="preserve">which </w:t>
      </w:r>
      <w:r w:rsidR="007D49E8">
        <w:rPr>
          <w:lang w:eastAsia="en-CA"/>
        </w:rPr>
        <w:t xml:space="preserve">may increase risk </w:t>
      </w:r>
      <w:r w:rsidR="0070576F">
        <w:rPr>
          <w:lang w:eastAsia="en-CA"/>
        </w:rPr>
        <w:t>for criminal activity</w:t>
      </w:r>
      <w:r w:rsidR="00350CF4">
        <w:rPr>
          <w:lang w:eastAsia="en-CA"/>
        </w:rPr>
        <w:t xml:space="preserve"> </w:t>
      </w:r>
      <w:r>
        <w:rPr>
          <w:lang w:eastAsia="en-CA"/>
        </w:rPr>
        <w:t>(</w:t>
      </w:r>
      <w:r w:rsidR="00790E9D">
        <w:rPr>
          <w:lang w:eastAsia="en-CA"/>
        </w:rPr>
        <w:t xml:space="preserve">for example, </w:t>
      </w:r>
      <w:r w:rsidR="00DA55B8">
        <w:rPr>
          <w:lang w:eastAsia="en-CA"/>
        </w:rPr>
        <w:t>family dysfunction</w:t>
      </w:r>
      <w:r w:rsidR="00CD5475">
        <w:rPr>
          <w:lang w:eastAsia="en-CA"/>
        </w:rPr>
        <w:t xml:space="preserve"> and</w:t>
      </w:r>
      <w:r w:rsidR="00DA55B8">
        <w:rPr>
          <w:lang w:eastAsia="en-CA"/>
        </w:rPr>
        <w:t xml:space="preserve"> low school achievement)</w:t>
      </w:r>
      <w:r>
        <w:rPr>
          <w:lang w:eastAsia="en-CA"/>
        </w:rPr>
        <w:t>.</w:t>
      </w:r>
      <w:r w:rsidR="00DA55B8">
        <w:rPr>
          <w:lang w:eastAsia="en-CA"/>
        </w:rPr>
        <w:t xml:space="preserve"> </w:t>
      </w:r>
    </w:p>
    <w:p w14:paraId="21EB71A8" w14:textId="77777777" w:rsidR="00D73121" w:rsidRDefault="00D73121" w:rsidP="00DE33EC">
      <w:pPr>
        <w:rPr>
          <w:lang w:eastAsia="en-CA"/>
        </w:rPr>
      </w:pPr>
    </w:p>
    <w:p w14:paraId="66C04E6C" w14:textId="77777777" w:rsidR="00D73121" w:rsidRDefault="00D73121" w:rsidP="00DE33EC">
      <w:pPr>
        <w:rPr>
          <w:lang w:eastAsia="en-CA"/>
        </w:rPr>
      </w:pPr>
    </w:p>
    <w:p w14:paraId="4A37E33D" w14:textId="77777777" w:rsidR="00D73121" w:rsidRDefault="00D73121" w:rsidP="00DE33EC">
      <w:pPr>
        <w:rPr>
          <w:lang w:eastAsia="en-CA"/>
        </w:rPr>
      </w:pPr>
    </w:p>
    <w:p w14:paraId="3C1497BA" w14:textId="77777777" w:rsidR="00D73121" w:rsidRDefault="00D73121" w:rsidP="00DE33EC">
      <w:pPr>
        <w:rPr>
          <w:lang w:eastAsia="en-CA"/>
        </w:rPr>
      </w:pPr>
    </w:p>
    <w:p w14:paraId="12321CDB" w14:textId="7B72E8B6" w:rsidR="00A6087B" w:rsidRDefault="00A6087B" w:rsidP="00DE33EC">
      <w:pPr>
        <w:rPr>
          <w:lang w:eastAsia="en-CA"/>
        </w:rPr>
      </w:pPr>
      <w:r w:rsidRPr="00660496">
        <w:rPr>
          <w:b/>
          <w:bCs/>
          <w:sz w:val="24"/>
          <w:szCs w:val="20"/>
          <w:lang w:eastAsia="en-CA"/>
        </w:rPr>
        <w:t>Figure 1.</w:t>
      </w:r>
      <w:r w:rsidRPr="00660496">
        <w:rPr>
          <w:sz w:val="24"/>
          <w:szCs w:val="20"/>
          <w:lang w:eastAsia="en-CA"/>
        </w:rPr>
        <w:t xml:space="preserve"> Primary intervention</w:t>
      </w:r>
      <w:r w:rsidR="006F7285" w:rsidRPr="00660496">
        <w:rPr>
          <w:sz w:val="24"/>
          <w:szCs w:val="20"/>
          <w:lang w:eastAsia="en-CA"/>
        </w:rPr>
        <w:t xml:space="preserve"> in Tyler’s Story</w:t>
      </w:r>
    </w:p>
    <w:p w14:paraId="267AEDD2" w14:textId="34089A64" w:rsidR="006B67D2" w:rsidRDefault="00D2123C" w:rsidP="00DE33EC">
      <w:pPr>
        <w:rPr>
          <w:lang w:eastAsia="en-CA"/>
        </w:rPr>
      </w:pPr>
      <w:r>
        <w:rPr>
          <w:noProof/>
          <w:lang w:eastAsia="en-CA"/>
        </w:rPr>
        <w:drawing>
          <wp:inline distT="0" distB="0" distL="0" distR="0" wp14:anchorId="286E3A40" wp14:editId="2106A2FC">
            <wp:extent cx="5943600" cy="1535430"/>
            <wp:effectExtent l="0" t="0" r="0" b="7620"/>
            <wp:docPr id="449850011" name="Picture 1" descr="A timeline diagram showing Tyler's age and three intervention levels. The first stage, labeled 'Primary interventions'. The second stage, labeled 'Secondary interventions', follows the primary stage. The third stage, labeled 'Tertiary interventions', follows the secondary level. &#10;A vertical line at the 10 year age marks the start of Tyler’s SNAP® interven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850011" name="Picture 1" descr="A timeline diagram showing Tyler's age and three intervention levels. The first stage, labeled 'Primary interventions'. The second stage, labeled 'Secondary interventions', follows the primary stage. The third stage, labeled 'Tertiary interventions', follows the secondary level. &#10;A vertical line at the 10 year age marks the start of Tyler’s SNAP® intervention. "/>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3600" cy="1535430"/>
                    </a:xfrm>
                    <a:prstGeom prst="rect">
                      <a:avLst/>
                    </a:prstGeom>
                    <a:noFill/>
                    <a:ln>
                      <a:noFill/>
                    </a:ln>
                  </pic:spPr>
                </pic:pic>
              </a:graphicData>
            </a:graphic>
          </wp:inline>
        </w:drawing>
      </w:r>
      <w:r w:rsidR="00A34280" w:rsidRPr="00F039BF">
        <w:rPr>
          <w:b/>
          <w:bCs/>
          <w:lang w:eastAsia="en-CA"/>
        </w:rPr>
        <w:t xml:space="preserve">Secondary interventions </w:t>
      </w:r>
      <w:r w:rsidR="00A34280">
        <w:rPr>
          <w:lang w:eastAsia="en-CA"/>
        </w:rPr>
        <w:t xml:space="preserve">are used </w:t>
      </w:r>
      <w:r w:rsidR="00DA55B8">
        <w:rPr>
          <w:lang w:eastAsia="en-CA"/>
        </w:rPr>
        <w:t xml:space="preserve">for </w:t>
      </w:r>
      <w:r w:rsidR="007D49E8">
        <w:rPr>
          <w:lang w:eastAsia="en-CA"/>
        </w:rPr>
        <w:t>youth already displaying</w:t>
      </w:r>
      <w:r w:rsidR="00A34280">
        <w:rPr>
          <w:lang w:eastAsia="en-CA"/>
        </w:rPr>
        <w:t xml:space="preserve"> at-risk </w:t>
      </w:r>
      <w:proofErr w:type="spellStart"/>
      <w:r w:rsidR="007D49E8">
        <w:rPr>
          <w:lang w:eastAsia="en-CA"/>
        </w:rPr>
        <w:t>behaviours</w:t>
      </w:r>
      <w:proofErr w:type="spellEnd"/>
      <w:r w:rsidR="007D49E8">
        <w:rPr>
          <w:lang w:eastAsia="en-CA"/>
        </w:rPr>
        <w:t xml:space="preserve"> which</w:t>
      </w:r>
      <w:r w:rsidR="00A34280">
        <w:rPr>
          <w:lang w:eastAsia="en-CA"/>
        </w:rPr>
        <w:t xml:space="preserve"> may escalate to criminal behaviour if unaddressed (</w:t>
      </w:r>
      <w:r w:rsidR="00790E9D">
        <w:rPr>
          <w:lang w:eastAsia="en-CA"/>
        </w:rPr>
        <w:t>such as</w:t>
      </w:r>
      <w:r w:rsidR="00A34280">
        <w:rPr>
          <w:lang w:eastAsia="en-CA"/>
        </w:rPr>
        <w:t xml:space="preserve"> aggression</w:t>
      </w:r>
      <w:r w:rsidR="00CD5475">
        <w:rPr>
          <w:lang w:eastAsia="en-CA"/>
        </w:rPr>
        <w:t xml:space="preserve"> and</w:t>
      </w:r>
      <w:r w:rsidR="00A34280">
        <w:rPr>
          <w:lang w:eastAsia="en-CA"/>
        </w:rPr>
        <w:t xml:space="preserve"> association with delinquent peers). </w:t>
      </w:r>
      <w:r w:rsidR="007D49E8">
        <w:rPr>
          <w:lang w:eastAsia="en-CA"/>
        </w:rPr>
        <w:t>P</w:t>
      </w:r>
      <w:r w:rsidR="00A34280">
        <w:rPr>
          <w:lang w:eastAsia="en-CA"/>
        </w:rPr>
        <w:t xml:space="preserve">rimary and secondary </w:t>
      </w:r>
      <w:r w:rsidR="00EE4A93">
        <w:rPr>
          <w:lang w:eastAsia="en-CA"/>
        </w:rPr>
        <w:t>crime prevention approaches focus on early intervention, working</w:t>
      </w:r>
      <w:r w:rsidR="00A34280">
        <w:rPr>
          <w:lang w:eastAsia="en-CA"/>
        </w:rPr>
        <w:t xml:space="preserve"> to negate the risk of </w:t>
      </w:r>
      <w:r w:rsidR="00D81D56">
        <w:rPr>
          <w:lang w:eastAsia="en-CA"/>
        </w:rPr>
        <w:t>criminal</w:t>
      </w:r>
      <w:r w:rsidR="00A34280">
        <w:rPr>
          <w:lang w:eastAsia="en-CA"/>
        </w:rPr>
        <w:t xml:space="preserve"> offending</w:t>
      </w:r>
      <w:r w:rsidR="00D81D56">
        <w:rPr>
          <w:lang w:eastAsia="en-CA"/>
        </w:rPr>
        <w:t xml:space="preserve"> before it happens</w:t>
      </w:r>
      <w:r w:rsidR="00CD5475">
        <w:rPr>
          <w:lang w:eastAsia="en-CA"/>
        </w:rPr>
        <w:t>. T</w:t>
      </w:r>
      <w:r w:rsidR="00DA55B8">
        <w:rPr>
          <w:lang w:eastAsia="en-CA"/>
        </w:rPr>
        <w:t xml:space="preserve">hese interventions may be in the form of safety campaigns such as drug and alcohol prevention programs (Public Safety Canada, 2003; </w:t>
      </w:r>
      <w:proofErr w:type="spellStart"/>
      <w:r w:rsidR="00DA55B8">
        <w:rPr>
          <w:lang w:eastAsia="en-CA"/>
        </w:rPr>
        <w:t>Battams</w:t>
      </w:r>
      <w:proofErr w:type="spellEnd"/>
      <w:r w:rsidR="00DA55B8">
        <w:rPr>
          <w:lang w:eastAsia="en-CA"/>
        </w:rPr>
        <w:t xml:space="preserve"> et al., 2021)</w:t>
      </w:r>
      <w:r w:rsidR="007D49E8">
        <w:rPr>
          <w:lang w:eastAsia="en-CA"/>
        </w:rPr>
        <w:t>.</w:t>
      </w:r>
      <w:r w:rsidR="00A34280">
        <w:rPr>
          <w:lang w:eastAsia="en-CA"/>
        </w:rPr>
        <w:t xml:space="preserve"> </w:t>
      </w:r>
    </w:p>
    <w:p w14:paraId="353466F2" w14:textId="0F5D2696" w:rsidR="00A6087B" w:rsidRPr="00660496" w:rsidRDefault="00A6087B" w:rsidP="006C56F5">
      <w:pPr>
        <w:spacing w:before="240"/>
        <w:rPr>
          <w:sz w:val="24"/>
          <w:szCs w:val="20"/>
          <w:lang w:eastAsia="en-CA"/>
        </w:rPr>
      </w:pPr>
      <w:r w:rsidRPr="00660496">
        <w:rPr>
          <w:b/>
          <w:bCs/>
          <w:sz w:val="24"/>
          <w:szCs w:val="20"/>
          <w:lang w:eastAsia="en-CA"/>
        </w:rPr>
        <w:t>Figure 2.</w:t>
      </w:r>
      <w:r w:rsidRPr="00660496">
        <w:rPr>
          <w:sz w:val="24"/>
          <w:szCs w:val="20"/>
          <w:lang w:eastAsia="en-CA"/>
        </w:rPr>
        <w:t xml:space="preserve"> Secondary intervention</w:t>
      </w:r>
      <w:r w:rsidR="006F7285" w:rsidRPr="00660496">
        <w:rPr>
          <w:sz w:val="24"/>
          <w:szCs w:val="20"/>
          <w:lang w:eastAsia="en-CA"/>
        </w:rPr>
        <w:t xml:space="preserve"> in Tyler’s Story</w:t>
      </w:r>
    </w:p>
    <w:p w14:paraId="3B3C8E2D" w14:textId="17887A7D" w:rsidR="00A34280" w:rsidRDefault="00D2123C" w:rsidP="00DE33EC">
      <w:pPr>
        <w:rPr>
          <w:lang w:eastAsia="en-CA"/>
        </w:rPr>
      </w:pPr>
      <w:r>
        <w:rPr>
          <w:noProof/>
          <w:lang w:eastAsia="en-CA"/>
        </w:rPr>
        <w:drawing>
          <wp:inline distT="0" distB="0" distL="0" distR="0" wp14:anchorId="69CFCA8D" wp14:editId="0C9CF6E4">
            <wp:extent cx="5943600" cy="1535430"/>
            <wp:effectExtent l="0" t="0" r="0" b="7620"/>
            <wp:docPr id="174629061" name="Picture 2" descr="A timeline diagram showing Tyler's age and three intervention levels. The first stage, labeled 'Primary interventions'. The second stage, labeled 'Secondary interventions', follows the primary stage. The third stage, labeled 'Tertiary interventions', follows the secondary level. &#10;A vertical line at the 10 year age marks the start of Tyler’s SNAP® intervention. Then, YIP is marked at age13 years and it is his secondary inter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29061" name="Picture 2" descr="A timeline diagram showing Tyler's age and three intervention levels. The first stage, labeled 'Primary interventions'. The second stage, labeled 'Secondary interventions', follows the primary stage. The third stage, labeled 'Tertiary interventions', follows the secondary level. &#10;A vertical line at the 10 year age marks the start of Tyler’s SNAP® intervention. Then, YIP is marked at age13 years and it is his secondary intervention."/>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43600" cy="1535430"/>
                    </a:xfrm>
                    <a:prstGeom prst="rect">
                      <a:avLst/>
                    </a:prstGeom>
                    <a:noFill/>
                    <a:ln>
                      <a:noFill/>
                    </a:ln>
                  </pic:spPr>
                </pic:pic>
              </a:graphicData>
            </a:graphic>
          </wp:inline>
        </w:drawing>
      </w:r>
      <w:r w:rsidR="007D49E8">
        <w:rPr>
          <w:b/>
          <w:bCs/>
          <w:lang w:eastAsia="en-CA"/>
        </w:rPr>
        <w:t>T</w:t>
      </w:r>
      <w:r w:rsidR="00A34280" w:rsidRPr="00F039BF">
        <w:rPr>
          <w:b/>
          <w:bCs/>
          <w:lang w:eastAsia="en-CA"/>
        </w:rPr>
        <w:t>ertiary interventions</w:t>
      </w:r>
      <w:r w:rsidR="007D49E8">
        <w:rPr>
          <w:lang w:eastAsia="en-CA"/>
        </w:rPr>
        <w:t>, however</w:t>
      </w:r>
      <w:r w:rsidR="00CD5475">
        <w:rPr>
          <w:lang w:eastAsia="en-CA"/>
        </w:rPr>
        <w:t>,</w:t>
      </w:r>
      <w:r w:rsidR="007D49E8">
        <w:rPr>
          <w:lang w:eastAsia="en-CA"/>
        </w:rPr>
        <w:t xml:space="preserve"> </w:t>
      </w:r>
      <w:r w:rsidR="00A34280">
        <w:rPr>
          <w:lang w:eastAsia="en-CA"/>
        </w:rPr>
        <w:t>are implemented after the onset of criminal behaviour</w:t>
      </w:r>
      <w:r w:rsidR="00CD5475">
        <w:rPr>
          <w:lang w:eastAsia="en-CA"/>
        </w:rPr>
        <w:t>. They aim</w:t>
      </w:r>
      <w:r w:rsidR="00A34280">
        <w:rPr>
          <w:lang w:eastAsia="en-CA"/>
        </w:rPr>
        <w:t xml:space="preserve"> to reduce re-offending by targeting factors with known relationships to offending (</w:t>
      </w:r>
      <w:r w:rsidR="00790E9D">
        <w:rPr>
          <w:lang w:eastAsia="en-CA"/>
        </w:rPr>
        <w:t>including</w:t>
      </w:r>
      <w:r w:rsidR="00A34280">
        <w:rPr>
          <w:lang w:eastAsia="en-CA"/>
        </w:rPr>
        <w:t xml:space="preserve"> substance use</w:t>
      </w:r>
      <w:r w:rsidR="00CD5475">
        <w:rPr>
          <w:lang w:eastAsia="en-CA"/>
        </w:rPr>
        <w:t xml:space="preserve"> and</w:t>
      </w:r>
      <w:r w:rsidR="00A34280">
        <w:rPr>
          <w:lang w:eastAsia="en-CA"/>
        </w:rPr>
        <w:t xml:space="preserve"> pro-criminal attitudes)</w:t>
      </w:r>
      <w:r w:rsidR="00DA55B8">
        <w:rPr>
          <w:lang w:eastAsia="en-CA"/>
        </w:rPr>
        <w:t xml:space="preserve"> (Public Safety Canada, 2003; </w:t>
      </w:r>
      <w:proofErr w:type="spellStart"/>
      <w:r w:rsidR="00DA55B8">
        <w:rPr>
          <w:lang w:eastAsia="en-CA"/>
        </w:rPr>
        <w:t>Battams</w:t>
      </w:r>
      <w:proofErr w:type="spellEnd"/>
      <w:r w:rsidR="00DA55B8">
        <w:rPr>
          <w:lang w:eastAsia="en-CA"/>
        </w:rPr>
        <w:t xml:space="preserve"> et al., 2021)</w:t>
      </w:r>
      <w:r w:rsidR="00A34280">
        <w:rPr>
          <w:lang w:eastAsia="en-CA"/>
        </w:rPr>
        <w:t>.</w:t>
      </w:r>
    </w:p>
    <w:p w14:paraId="235D0509" w14:textId="77777777" w:rsidR="00D73121" w:rsidRDefault="00D73121" w:rsidP="00DE33EC">
      <w:pPr>
        <w:rPr>
          <w:lang w:eastAsia="en-CA"/>
        </w:rPr>
      </w:pPr>
    </w:p>
    <w:p w14:paraId="18C9AC99" w14:textId="77777777" w:rsidR="00D73121" w:rsidRDefault="00D73121" w:rsidP="00DE33EC">
      <w:pPr>
        <w:rPr>
          <w:lang w:eastAsia="en-CA"/>
        </w:rPr>
      </w:pPr>
    </w:p>
    <w:p w14:paraId="147562F0" w14:textId="77777777" w:rsidR="00D73121" w:rsidRDefault="00D73121" w:rsidP="00DE33EC">
      <w:pPr>
        <w:rPr>
          <w:lang w:eastAsia="en-CA"/>
        </w:rPr>
      </w:pPr>
    </w:p>
    <w:p w14:paraId="01CAF658" w14:textId="77777777" w:rsidR="00D73121" w:rsidRDefault="00D73121" w:rsidP="00DE33EC">
      <w:pPr>
        <w:rPr>
          <w:lang w:eastAsia="en-CA"/>
        </w:rPr>
      </w:pPr>
    </w:p>
    <w:p w14:paraId="3C7AFA9A" w14:textId="39C21AF0" w:rsidR="00252D90" w:rsidRPr="00660496" w:rsidRDefault="00252D90" w:rsidP="00DE33EC">
      <w:pPr>
        <w:rPr>
          <w:sz w:val="24"/>
          <w:szCs w:val="20"/>
          <w:lang w:eastAsia="en-CA"/>
        </w:rPr>
      </w:pPr>
      <w:r w:rsidRPr="00660496">
        <w:rPr>
          <w:b/>
          <w:bCs/>
          <w:sz w:val="24"/>
          <w:szCs w:val="20"/>
          <w:lang w:eastAsia="en-CA"/>
        </w:rPr>
        <w:t>Figure 3.</w:t>
      </w:r>
      <w:r w:rsidRPr="00660496">
        <w:rPr>
          <w:sz w:val="24"/>
          <w:szCs w:val="20"/>
          <w:lang w:eastAsia="en-CA"/>
        </w:rPr>
        <w:t xml:space="preserve"> Tertiary intervention</w:t>
      </w:r>
      <w:r w:rsidR="006F7285" w:rsidRPr="00660496">
        <w:rPr>
          <w:sz w:val="24"/>
          <w:szCs w:val="20"/>
          <w:lang w:eastAsia="en-CA"/>
        </w:rPr>
        <w:t xml:space="preserve"> in Tyler’s Story</w:t>
      </w:r>
    </w:p>
    <w:p w14:paraId="53A7C977" w14:textId="7962A8D8" w:rsidR="00CD5DC0" w:rsidRDefault="00D2123C" w:rsidP="00CD5DC0">
      <w:pPr>
        <w:rPr>
          <w:rFonts w:cs="Arial"/>
          <w:lang w:val="en-CA" w:eastAsia="en-CA"/>
        </w:rPr>
      </w:pPr>
      <w:r>
        <w:rPr>
          <w:noProof/>
          <w:lang w:eastAsia="en-CA"/>
        </w:rPr>
        <w:drawing>
          <wp:inline distT="0" distB="0" distL="0" distR="0" wp14:anchorId="085C5353" wp14:editId="4D6FB2B4">
            <wp:extent cx="5943600" cy="1535430"/>
            <wp:effectExtent l="0" t="0" r="0" b="7620"/>
            <wp:docPr id="747341761" name="Picture 3" descr="A timeline diagram showing Tyler's age and three intervention levels. The first stage, labeled 'Primary interventions'. The second stage, labeled 'Secondary interventions', follows the primary stage. The third stage, labeled 'Tertiary interventions', follows the secondary level. &#10;A vertical line at the 10 year age marks the start of Tyler’s SNAP® intervention. Then, YIP is marked at age13 years and it is his secondary intervention. Finally, MST is marked at age 17 years and it is Tyler’s Tertiary inter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341761" name="Picture 3" descr="A timeline diagram showing Tyler's age and three intervention levels. The first stage, labeled 'Primary interventions'. The second stage, labeled 'Secondary interventions', follows the primary stage. The third stage, labeled 'Tertiary interventions', follows the secondary level. &#10;A vertical line at the 10 year age marks the start of Tyler’s SNAP® intervention. Then, YIP is marked at age13 years and it is his secondary intervention. Finally, MST is marked at age 17 years and it is Tyler’s Tertiary interventio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43600" cy="1535430"/>
                    </a:xfrm>
                    <a:prstGeom prst="rect">
                      <a:avLst/>
                    </a:prstGeom>
                    <a:noFill/>
                    <a:ln>
                      <a:noFill/>
                    </a:ln>
                  </pic:spPr>
                </pic:pic>
              </a:graphicData>
            </a:graphic>
          </wp:inline>
        </w:drawing>
      </w:r>
      <w:r w:rsidR="000128EC">
        <w:rPr>
          <w:lang w:eastAsia="en-CA"/>
        </w:rPr>
        <w:t xml:space="preserve">Aligning with the three approaches to </w:t>
      </w:r>
      <w:r w:rsidR="00641C9C">
        <w:rPr>
          <w:lang w:eastAsia="en-CA"/>
        </w:rPr>
        <w:t xml:space="preserve">youth </w:t>
      </w:r>
      <w:r w:rsidR="000128EC">
        <w:rPr>
          <w:lang w:eastAsia="en-CA"/>
        </w:rPr>
        <w:t>crime prevention</w:t>
      </w:r>
      <w:r w:rsidR="00CD5DC0" w:rsidRPr="00F039BF">
        <w:t xml:space="preserve">, </w:t>
      </w:r>
      <w:r w:rsidR="00CD5DC0">
        <w:rPr>
          <w:rFonts w:cs="Arial"/>
          <w:lang w:val="en-CA" w:eastAsia="en-CA"/>
        </w:rPr>
        <w:t xml:space="preserve">relevant risk factors </w:t>
      </w:r>
      <w:r w:rsidR="000128EC">
        <w:rPr>
          <w:rFonts w:cs="Arial"/>
          <w:lang w:val="en-CA" w:eastAsia="en-CA"/>
        </w:rPr>
        <w:t>in Tyler’s story</w:t>
      </w:r>
      <w:r w:rsidR="00A34280">
        <w:rPr>
          <w:rFonts w:cs="Arial"/>
          <w:lang w:val="en-CA" w:eastAsia="en-CA"/>
        </w:rPr>
        <w:t xml:space="preserve"> </w:t>
      </w:r>
      <w:r w:rsidR="00CD5DC0">
        <w:rPr>
          <w:rFonts w:cs="Arial"/>
          <w:lang w:val="en-CA" w:eastAsia="en-CA"/>
        </w:rPr>
        <w:t>are highlighted at each developmental life period to:</w:t>
      </w:r>
    </w:p>
    <w:p w14:paraId="0725F5AA" w14:textId="30958CDF" w:rsidR="00CD5DC0" w:rsidRPr="00EA4EBF" w:rsidRDefault="000128EC" w:rsidP="00CD5DC0">
      <w:pPr>
        <w:pStyle w:val="ListParagraph"/>
        <w:numPr>
          <w:ilvl w:val="0"/>
          <w:numId w:val="9"/>
        </w:numPr>
        <w:tabs>
          <w:tab w:val="clear" w:pos="360"/>
        </w:tabs>
        <w:spacing w:before="40" w:after="240" w:line="360" w:lineRule="auto"/>
        <w:contextualSpacing w:val="0"/>
        <w:rPr>
          <w:rFonts w:cs="Arial"/>
          <w:lang w:eastAsia="en-CA"/>
        </w:rPr>
      </w:pPr>
      <w:r>
        <w:rPr>
          <w:rFonts w:cs="Arial"/>
          <w:lang w:eastAsia="en-CA"/>
        </w:rPr>
        <w:t>demonstrate</w:t>
      </w:r>
      <w:r w:rsidR="00CD5DC0" w:rsidRPr="00EA4EBF">
        <w:rPr>
          <w:rFonts w:cs="Arial"/>
          <w:lang w:eastAsia="en-CA"/>
        </w:rPr>
        <w:t xml:space="preserve"> how </w:t>
      </w:r>
      <w:r w:rsidR="00A34280">
        <w:rPr>
          <w:rFonts w:cs="Arial"/>
          <w:lang w:eastAsia="en-CA"/>
        </w:rPr>
        <w:t>early-</w:t>
      </w:r>
      <w:r w:rsidR="00CD5DC0" w:rsidRPr="00EA4EBF">
        <w:rPr>
          <w:rFonts w:cs="Arial"/>
          <w:lang w:eastAsia="en-CA"/>
        </w:rPr>
        <w:t xml:space="preserve">life events </w:t>
      </w:r>
      <w:r w:rsidR="00A34280" w:rsidRPr="00EA4EBF">
        <w:rPr>
          <w:rFonts w:cs="Arial"/>
          <w:lang w:eastAsia="en-CA"/>
        </w:rPr>
        <w:t>impact Tyler</w:t>
      </w:r>
      <w:r w:rsidR="00A34280">
        <w:rPr>
          <w:rFonts w:cs="Arial"/>
          <w:lang w:eastAsia="en-CA"/>
        </w:rPr>
        <w:t>’s development</w:t>
      </w:r>
      <w:r>
        <w:rPr>
          <w:rFonts w:cs="Arial"/>
          <w:lang w:eastAsia="en-CA"/>
        </w:rPr>
        <w:t xml:space="preserve"> and compound </w:t>
      </w:r>
      <w:r w:rsidR="00CD5DC0" w:rsidRPr="00EA4EBF">
        <w:rPr>
          <w:rFonts w:cs="Arial"/>
          <w:lang w:eastAsia="en-CA"/>
        </w:rPr>
        <w:t>over time</w:t>
      </w:r>
      <w:r>
        <w:rPr>
          <w:rFonts w:cs="Arial"/>
          <w:lang w:eastAsia="en-CA"/>
        </w:rPr>
        <w:t>,</w:t>
      </w:r>
    </w:p>
    <w:p w14:paraId="31BFD202" w14:textId="406F9000" w:rsidR="00A34280" w:rsidRPr="00646C01" w:rsidRDefault="000128EC" w:rsidP="00A34280">
      <w:pPr>
        <w:pStyle w:val="ListParagraph"/>
        <w:numPr>
          <w:ilvl w:val="0"/>
          <w:numId w:val="9"/>
        </w:numPr>
        <w:tabs>
          <w:tab w:val="clear" w:pos="360"/>
        </w:tabs>
        <w:spacing w:before="40" w:after="240" w:line="360" w:lineRule="auto"/>
        <w:contextualSpacing w:val="0"/>
        <w:rPr>
          <w:rFonts w:cs="Arial"/>
          <w:lang w:eastAsia="en-CA"/>
        </w:rPr>
      </w:pPr>
      <w:r w:rsidRPr="00C845E2">
        <w:rPr>
          <w:rFonts w:cs="Arial"/>
          <w:lang w:eastAsia="en-CA"/>
        </w:rPr>
        <w:t xml:space="preserve">identify </w:t>
      </w:r>
      <w:r w:rsidR="00811BC5" w:rsidRPr="00C845E2">
        <w:rPr>
          <w:rFonts w:cs="Arial"/>
          <w:lang w:eastAsia="en-CA"/>
        </w:rPr>
        <w:t xml:space="preserve">timeframes where </w:t>
      </w:r>
      <w:r w:rsidRPr="00C845E2">
        <w:rPr>
          <w:rFonts w:cs="Arial"/>
          <w:lang w:eastAsia="en-CA"/>
        </w:rPr>
        <w:t>th</w:t>
      </w:r>
      <w:r w:rsidR="00811BC5" w:rsidRPr="00C845E2">
        <w:rPr>
          <w:rFonts w:cs="Arial"/>
          <w:lang w:eastAsia="en-CA"/>
        </w:rPr>
        <w:t>e use of</w:t>
      </w:r>
      <w:r w:rsidRPr="00C845E2">
        <w:rPr>
          <w:rFonts w:cs="Arial"/>
          <w:lang w:eastAsia="en-CA"/>
        </w:rPr>
        <w:t xml:space="preserve"> primary and secondary interventions</w:t>
      </w:r>
      <w:r w:rsidR="00811BC5">
        <w:rPr>
          <w:rFonts w:cs="Arial"/>
          <w:lang w:eastAsia="en-CA"/>
        </w:rPr>
        <w:t xml:space="preserve"> may have mitigated Tyler’s risk of criminal behaviour</w:t>
      </w:r>
      <w:r>
        <w:rPr>
          <w:rFonts w:cs="Arial"/>
          <w:lang w:eastAsia="en-CA"/>
        </w:rPr>
        <w:t>, and</w:t>
      </w:r>
    </w:p>
    <w:p w14:paraId="61523994" w14:textId="12F433A8" w:rsidR="00A34280" w:rsidRPr="00A34280" w:rsidRDefault="006F7285" w:rsidP="00A34280">
      <w:pPr>
        <w:pStyle w:val="ListParagraph"/>
        <w:numPr>
          <w:ilvl w:val="0"/>
          <w:numId w:val="9"/>
        </w:numPr>
        <w:tabs>
          <w:tab w:val="clear" w:pos="360"/>
        </w:tabs>
        <w:spacing w:before="40" w:after="240" w:line="360" w:lineRule="auto"/>
        <w:contextualSpacing w:val="0"/>
        <w:rPr>
          <w:rFonts w:cs="Arial"/>
          <w:lang w:eastAsia="en-CA"/>
        </w:rPr>
      </w:pPr>
      <w:r>
        <w:rPr>
          <w:rFonts w:cs="Arial"/>
          <w:lang w:eastAsia="en-CA"/>
        </w:rPr>
        <w:t>isolate</w:t>
      </w:r>
      <w:r w:rsidR="00A34280" w:rsidRPr="00646C01">
        <w:rPr>
          <w:rFonts w:cs="Arial"/>
          <w:lang w:eastAsia="en-CA"/>
        </w:rPr>
        <w:t xml:space="preserve"> </w:t>
      </w:r>
      <w:r w:rsidR="000128EC">
        <w:rPr>
          <w:rFonts w:cs="Arial"/>
          <w:lang w:eastAsia="en-CA"/>
        </w:rPr>
        <w:t>risk</w:t>
      </w:r>
      <w:r w:rsidR="00A34280" w:rsidRPr="00646C01">
        <w:rPr>
          <w:rFonts w:cs="Arial"/>
          <w:lang w:eastAsia="en-CA"/>
        </w:rPr>
        <w:t xml:space="preserve"> factors to target with </w:t>
      </w:r>
      <w:r w:rsidR="000128EC">
        <w:rPr>
          <w:rFonts w:cs="Arial"/>
          <w:lang w:eastAsia="en-CA"/>
        </w:rPr>
        <w:t xml:space="preserve">tertiary intervention to reduce </w:t>
      </w:r>
      <w:r w:rsidR="009E00BA">
        <w:rPr>
          <w:rFonts w:cs="Arial"/>
          <w:lang w:eastAsia="en-CA"/>
        </w:rPr>
        <w:t>Tyler’s likelihood of re-offending</w:t>
      </w:r>
      <w:r w:rsidR="00A34280" w:rsidRPr="00646C01">
        <w:rPr>
          <w:rFonts w:cs="Arial"/>
          <w:lang w:eastAsia="en-CA"/>
        </w:rPr>
        <w:t>.</w:t>
      </w:r>
    </w:p>
    <w:p w14:paraId="6800A7E9" w14:textId="4B96D1CA" w:rsidR="003F2AA3" w:rsidRDefault="00CD5DC0" w:rsidP="00D660D6">
      <w:pPr>
        <w:rPr>
          <w:rFonts w:cs="Arial"/>
          <w:lang w:val="en-CA" w:eastAsia="en-CA"/>
        </w:rPr>
      </w:pPr>
      <w:r>
        <w:rPr>
          <w:rFonts w:cs="Arial"/>
          <w:lang w:val="en-CA" w:eastAsia="en-CA"/>
        </w:rPr>
        <w:t xml:space="preserve">Risk factors are also </w:t>
      </w:r>
      <w:r w:rsidR="006F7285">
        <w:rPr>
          <w:rFonts w:cs="Arial"/>
          <w:lang w:val="en-CA" w:eastAsia="en-CA"/>
        </w:rPr>
        <w:t>aligned with</w:t>
      </w:r>
      <w:r>
        <w:rPr>
          <w:rFonts w:cs="Arial"/>
          <w:lang w:val="en-CA" w:eastAsia="en-CA"/>
        </w:rPr>
        <w:t xml:space="preserve"> the </w:t>
      </w:r>
      <w:r w:rsidR="006C6F06">
        <w:rPr>
          <w:rFonts w:cs="Arial"/>
          <w:lang w:val="en-CA" w:eastAsia="en-CA"/>
        </w:rPr>
        <w:t>three</w:t>
      </w:r>
      <w:r w:rsidR="007314DE">
        <w:rPr>
          <w:rFonts w:cs="Arial"/>
          <w:lang w:val="en-CA" w:eastAsia="en-CA"/>
        </w:rPr>
        <w:t xml:space="preserve"> </w:t>
      </w:r>
      <w:r>
        <w:rPr>
          <w:rFonts w:cs="Arial"/>
          <w:lang w:val="en-CA" w:eastAsia="en-CA"/>
        </w:rPr>
        <w:t xml:space="preserve">crime prevention programs in the </w:t>
      </w:r>
      <w:r w:rsidR="006F7285">
        <w:rPr>
          <w:rFonts w:cs="Arial"/>
          <w:lang w:val="en-CA" w:eastAsia="en-CA"/>
        </w:rPr>
        <w:t>report</w:t>
      </w:r>
      <w:r>
        <w:rPr>
          <w:rFonts w:cs="Arial"/>
          <w:lang w:val="en-CA" w:eastAsia="en-CA"/>
        </w:rPr>
        <w:t>, illustrating how each of these interventions might mitigate Tyler’s risk. This</w:t>
      </w:r>
      <w:r w:rsidR="00CD5475">
        <w:rPr>
          <w:rFonts w:cs="Arial"/>
          <w:lang w:val="en-CA" w:eastAsia="en-CA"/>
        </w:rPr>
        <w:t xml:space="preserve"> approach</w:t>
      </w:r>
      <w:r>
        <w:rPr>
          <w:rFonts w:cs="Arial"/>
          <w:lang w:val="en-CA" w:eastAsia="en-CA"/>
        </w:rPr>
        <w:t xml:space="preserve"> is especially important for understanding how these interventions support youth like Tyler who are at risk of continued criminal behaviour and justice involvement.</w:t>
      </w:r>
    </w:p>
    <w:p w14:paraId="4D38B593" w14:textId="287E0A24" w:rsidR="003F2AA3" w:rsidRPr="00DE33EC" w:rsidRDefault="003F2AA3" w:rsidP="006C6F06">
      <w:pPr>
        <w:pStyle w:val="Heading4"/>
        <w:rPr>
          <w:lang w:val="en-CA" w:eastAsia="en-CA"/>
        </w:rPr>
      </w:pPr>
      <w:r>
        <w:rPr>
          <w:lang w:val="en-CA" w:eastAsia="en-CA"/>
        </w:rPr>
        <w:t>Risk factors</w:t>
      </w:r>
    </w:p>
    <w:p w14:paraId="3C350D95" w14:textId="692F143A" w:rsidR="006912EA" w:rsidRDefault="00CD5DC0" w:rsidP="00B92472">
      <w:pPr>
        <w:rPr>
          <w:rFonts w:cs="Arial"/>
          <w:lang w:val="en-CA" w:eastAsia="en-CA"/>
        </w:rPr>
      </w:pPr>
      <w:r w:rsidRPr="006C6F06">
        <w:rPr>
          <w:rFonts w:cs="Arial"/>
          <w:lang w:val="en-CA" w:eastAsia="en-CA"/>
        </w:rPr>
        <w:t>Risk factors</w:t>
      </w:r>
      <w:r w:rsidRPr="002F1544">
        <w:rPr>
          <w:rFonts w:cs="Arial"/>
          <w:lang w:val="en-CA" w:eastAsia="en-CA"/>
        </w:rPr>
        <w:t xml:space="preserve"> are negative influences in the lives of individuals or their community that can increase one’s likelihood of criminal behaviour (Public Safety Canada,</w:t>
      </w:r>
      <w:r w:rsidR="00431C07">
        <w:rPr>
          <w:rFonts w:cs="Arial"/>
          <w:lang w:val="en-CA" w:eastAsia="en-CA"/>
        </w:rPr>
        <w:t xml:space="preserve"> </w:t>
      </w:r>
      <w:r w:rsidRPr="002F1544">
        <w:rPr>
          <w:rFonts w:cs="Arial"/>
          <w:lang w:val="en-CA" w:eastAsia="en-CA"/>
        </w:rPr>
        <w:t xml:space="preserve">2015). </w:t>
      </w:r>
      <w:r w:rsidR="00B92472">
        <w:rPr>
          <w:rFonts w:cs="Arial"/>
          <w:lang w:val="en-CA" w:eastAsia="en-CA"/>
        </w:rPr>
        <w:t xml:space="preserve">Risk factors for criminal involvement have been conceptualized differently </w:t>
      </w:r>
      <w:r w:rsidR="00CD5475">
        <w:rPr>
          <w:rFonts w:cs="Arial"/>
          <w:lang w:val="en-CA" w:eastAsia="en-CA"/>
        </w:rPr>
        <w:t>in</w:t>
      </w:r>
      <w:r w:rsidR="00B92472">
        <w:rPr>
          <w:rFonts w:cs="Arial"/>
          <w:lang w:val="en-CA" w:eastAsia="en-CA"/>
        </w:rPr>
        <w:t xml:space="preserve"> </w:t>
      </w:r>
      <w:r w:rsidR="00CD5475">
        <w:rPr>
          <w:rFonts w:cs="Arial"/>
          <w:lang w:val="en-CA" w:eastAsia="en-CA"/>
        </w:rPr>
        <w:t>academic</w:t>
      </w:r>
      <w:r w:rsidR="00B92472">
        <w:rPr>
          <w:rFonts w:cs="Arial"/>
          <w:lang w:val="en-CA" w:eastAsia="en-CA"/>
        </w:rPr>
        <w:t xml:space="preserve"> literature</w:t>
      </w:r>
      <w:r w:rsidR="00CD5475">
        <w:rPr>
          <w:rFonts w:cs="Arial"/>
          <w:lang w:val="en-CA" w:eastAsia="en-CA"/>
        </w:rPr>
        <w:t>,</w:t>
      </w:r>
      <w:r w:rsidR="00B92472">
        <w:rPr>
          <w:rFonts w:cs="Arial"/>
          <w:lang w:val="en-CA" w:eastAsia="en-CA"/>
        </w:rPr>
        <w:t xml:space="preserve"> depending on the theoretical framework of focus. </w:t>
      </w:r>
    </w:p>
    <w:p w14:paraId="3EF75CE5" w14:textId="16E9E662" w:rsidR="00CD5475" w:rsidRDefault="00B92472" w:rsidP="00B92472">
      <w:pPr>
        <w:rPr>
          <w:rFonts w:cs="Arial"/>
          <w:lang w:val="en-CA" w:eastAsia="en-CA"/>
        </w:rPr>
      </w:pPr>
      <w:r>
        <w:rPr>
          <w:rFonts w:cs="Arial"/>
          <w:lang w:val="en-CA" w:eastAsia="en-CA"/>
        </w:rPr>
        <w:t>Tyler’s story</w:t>
      </w:r>
      <w:r w:rsidR="00CD5475">
        <w:rPr>
          <w:rFonts w:cs="Arial"/>
          <w:lang w:val="en-CA" w:eastAsia="en-CA"/>
        </w:rPr>
        <w:t xml:space="preserve"> </w:t>
      </w:r>
      <w:r>
        <w:rPr>
          <w:rFonts w:cs="Arial"/>
          <w:lang w:val="en-CA" w:eastAsia="en-CA"/>
        </w:rPr>
        <w:t>reflect</w:t>
      </w:r>
      <w:r w:rsidR="00CD5475">
        <w:rPr>
          <w:rFonts w:cs="Arial"/>
          <w:lang w:val="en-CA" w:eastAsia="en-CA"/>
        </w:rPr>
        <w:t>s</w:t>
      </w:r>
      <w:r>
        <w:rPr>
          <w:rFonts w:cs="Arial"/>
          <w:lang w:val="en-CA" w:eastAsia="en-CA"/>
        </w:rPr>
        <w:t xml:space="preserve"> the </w:t>
      </w:r>
      <w:r w:rsidR="00404761">
        <w:rPr>
          <w:rFonts w:cs="Arial"/>
          <w:lang w:val="en-CA" w:eastAsia="en-CA"/>
        </w:rPr>
        <w:t xml:space="preserve">progression of </w:t>
      </w:r>
      <w:r>
        <w:rPr>
          <w:rFonts w:cs="Arial"/>
          <w:lang w:val="en-CA" w:eastAsia="en-CA"/>
        </w:rPr>
        <w:t xml:space="preserve">developmental </w:t>
      </w:r>
      <w:r w:rsidR="00CD5475">
        <w:rPr>
          <w:rFonts w:cs="Arial"/>
          <w:lang w:val="en-CA" w:eastAsia="en-CA"/>
        </w:rPr>
        <w:t xml:space="preserve">factors </w:t>
      </w:r>
      <w:r>
        <w:rPr>
          <w:rFonts w:cs="Arial"/>
          <w:lang w:val="en-CA" w:eastAsia="en-CA"/>
        </w:rPr>
        <w:t xml:space="preserve">and life course </w:t>
      </w:r>
      <w:r w:rsidR="00CD5475">
        <w:rPr>
          <w:rFonts w:cs="Arial"/>
          <w:lang w:val="en-CA" w:eastAsia="en-CA"/>
        </w:rPr>
        <w:t>events</w:t>
      </w:r>
      <w:r>
        <w:rPr>
          <w:rFonts w:cs="Arial"/>
          <w:lang w:val="en-CA" w:eastAsia="en-CA"/>
        </w:rPr>
        <w:t xml:space="preserve"> which </w:t>
      </w:r>
      <w:r w:rsidR="00404761">
        <w:rPr>
          <w:rFonts w:cs="Arial"/>
          <w:lang w:val="en-CA" w:eastAsia="en-CA"/>
        </w:rPr>
        <w:t>contribute</w:t>
      </w:r>
      <w:r w:rsidR="00522843">
        <w:rPr>
          <w:rFonts w:cs="Arial"/>
          <w:lang w:val="en-CA" w:eastAsia="en-CA"/>
        </w:rPr>
        <w:t xml:space="preserve"> to his</w:t>
      </w:r>
      <w:r>
        <w:rPr>
          <w:rFonts w:cs="Arial"/>
          <w:lang w:val="en-CA" w:eastAsia="en-CA"/>
        </w:rPr>
        <w:t xml:space="preserve"> later offending</w:t>
      </w:r>
      <w:r w:rsidR="00522843">
        <w:rPr>
          <w:rFonts w:cs="Arial"/>
          <w:lang w:val="en-CA" w:eastAsia="en-CA"/>
        </w:rPr>
        <w:t xml:space="preserve"> behaviours</w:t>
      </w:r>
      <w:r>
        <w:rPr>
          <w:rFonts w:cs="Arial"/>
          <w:lang w:val="en-CA" w:eastAsia="en-CA"/>
        </w:rPr>
        <w:t>.</w:t>
      </w:r>
      <w:r w:rsidR="006912EA">
        <w:rPr>
          <w:rFonts w:cs="Arial"/>
          <w:lang w:val="en-CA" w:eastAsia="en-CA"/>
        </w:rPr>
        <w:t xml:space="preserve"> </w:t>
      </w:r>
      <w:r w:rsidR="00404761">
        <w:rPr>
          <w:rFonts w:cs="Arial"/>
          <w:lang w:val="en-CA" w:eastAsia="en-CA"/>
        </w:rPr>
        <w:t xml:space="preserve">To better understand this progression, </w:t>
      </w:r>
      <w:r w:rsidR="00522843">
        <w:rPr>
          <w:rFonts w:cs="Arial"/>
          <w:lang w:val="en-CA" w:eastAsia="en-CA"/>
        </w:rPr>
        <w:t xml:space="preserve">Farrington’s Integrated Cognitive Antisocial Potential (ICAP) Theory </w:t>
      </w:r>
      <w:r w:rsidR="00CD5475">
        <w:rPr>
          <w:rFonts w:cs="Arial"/>
          <w:lang w:val="en-CA" w:eastAsia="en-CA"/>
        </w:rPr>
        <w:t xml:space="preserve">was used to </w:t>
      </w:r>
      <w:r w:rsidR="00404761">
        <w:rPr>
          <w:rFonts w:cs="Arial"/>
          <w:lang w:val="en-CA" w:eastAsia="en-CA"/>
        </w:rPr>
        <w:t>showcase how</w:t>
      </w:r>
      <w:r w:rsidR="00432F4F">
        <w:rPr>
          <w:rFonts w:cs="Arial"/>
          <w:lang w:val="en-CA" w:eastAsia="en-CA"/>
        </w:rPr>
        <w:t xml:space="preserve"> </w:t>
      </w:r>
      <w:r w:rsidR="00432F4F" w:rsidRPr="006C6F06">
        <w:rPr>
          <w:rFonts w:cs="Arial"/>
          <w:lang w:val="en-CA" w:eastAsia="en-CA"/>
        </w:rPr>
        <w:t>family</w:t>
      </w:r>
      <w:r w:rsidR="009B11E2" w:rsidRPr="006C6F06">
        <w:rPr>
          <w:rFonts w:cs="Arial"/>
          <w:lang w:val="en-CA" w:eastAsia="en-CA"/>
        </w:rPr>
        <w:t xml:space="preserve"> background</w:t>
      </w:r>
      <w:r w:rsidR="00432F4F" w:rsidRPr="006C6F06">
        <w:rPr>
          <w:rFonts w:cs="Arial"/>
          <w:lang w:val="en-CA" w:eastAsia="en-CA"/>
        </w:rPr>
        <w:t>, social</w:t>
      </w:r>
      <w:r w:rsidR="009B11E2" w:rsidRPr="006C6F06">
        <w:rPr>
          <w:rFonts w:cs="Arial"/>
          <w:lang w:val="en-CA" w:eastAsia="en-CA"/>
        </w:rPr>
        <w:t xml:space="preserve"> environment</w:t>
      </w:r>
      <w:r w:rsidR="00432F4F" w:rsidRPr="006C6F06">
        <w:rPr>
          <w:rFonts w:cs="Arial"/>
          <w:lang w:val="en-CA" w:eastAsia="en-CA"/>
        </w:rPr>
        <w:t>, and individual-level factors</w:t>
      </w:r>
      <w:r w:rsidR="00C16089" w:rsidRPr="006C6F06">
        <w:rPr>
          <w:rFonts w:cs="Arial"/>
          <w:lang w:val="en-CA" w:eastAsia="en-CA"/>
        </w:rPr>
        <w:t xml:space="preserve"> may explain</w:t>
      </w:r>
      <w:r w:rsidR="00432F4F" w:rsidRPr="006C6F06">
        <w:rPr>
          <w:rFonts w:cs="Arial"/>
          <w:lang w:val="en-CA" w:eastAsia="en-CA"/>
        </w:rPr>
        <w:t xml:space="preserve"> the </w:t>
      </w:r>
      <w:r w:rsidR="00C2665F" w:rsidRPr="006C6F06">
        <w:rPr>
          <w:rFonts w:cs="Arial"/>
          <w:lang w:val="en-CA" w:eastAsia="en-CA"/>
        </w:rPr>
        <w:t>onset</w:t>
      </w:r>
      <w:r w:rsidR="00432F4F" w:rsidRPr="006C6F06">
        <w:rPr>
          <w:rFonts w:cs="Arial"/>
          <w:lang w:val="en-CA" w:eastAsia="en-CA"/>
        </w:rPr>
        <w:t xml:space="preserve"> of criminal behaviour</w:t>
      </w:r>
      <w:r w:rsidR="00264379">
        <w:rPr>
          <w:rFonts w:cs="Arial"/>
          <w:lang w:val="en-CA" w:eastAsia="en-CA"/>
        </w:rPr>
        <w:t xml:space="preserve"> (Farrington, 2019)</w:t>
      </w:r>
      <w:r w:rsidR="00497811">
        <w:rPr>
          <w:rFonts w:cs="Arial"/>
          <w:lang w:val="en-CA" w:eastAsia="en-CA"/>
        </w:rPr>
        <w:t>.</w:t>
      </w:r>
      <w:r w:rsidR="00432F4F">
        <w:rPr>
          <w:rFonts w:cs="Arial"/>
          <w:lang w:val="en-CA" w:eastAsia="en-CA"/>
        </w:rPr>
        <w:t xml:space="preserve"> </w:t>
      </w:r>
    </w:p>
    <w:p w14:paraId="6C09C7E6" w14:textId="26380AB4" w:rsidR="00CD5475" w:rsidRDefault="00432F4F" w:rsidP="00B92472">
      <w:pPr>
        <w:rPr>
          <w:rFonts w:cs="Arial"/>
          <w:lang w:val="en-CA" w:eastAsia="en-CA"/>
        </w:rPr>
      </w:pPr>
      <w:r>
        <w:rPr>
          <w:rFonts w:cs="Arial"/>
          <w:lang w:val="en-CA" w:eastAsia="en-CA"/>
        </w:rPr>
        <w:t xml:space="preserve">The ICAP theory differentiates between </w:t>
      </w:r>
      <w:r w:rsidR="00522843">
        <w:rPr>
          <w:rFonts w:cs="Arial"/>
          <w:lang w:val="en-CA" w:eastAsia="en-CA"/>
        </w:rPr>
        <w:t>early-life risk factors (long-term vulnerabilities</w:t>
      </w:r>
      <w:r w:rsidR="00A70F51">
        <w:rPr>
          <w:rFonts w:cs="Arial"/>
          <w:lang w:val="en-CA" w:eastAsia="en-CA"/>
        </w:rPr>
        <w:t xml:space="preserve"> increasing risk over time</w:t>
      </w:r>
      <w:r w:rsidR="00522843">
        <w:rPr>
          <w:rFonts w:cs="Arial"/>
          <w:lang w:val="en-CA" w:eastAsia="en-CA"/>
        </w:rPr>
        <w:t>) and situational risk factors (short-term triggers</w:t>
      </w:r>
      <w:r w:rsidR="00A70F51">
        <w:rPr>
          <w:rFonts w:cs="Arial"/>
          <w:lang w:val="en-CA" w:eastAsia="en-CA"/>
        </w:rPr>
        <w:t xml:space="preserve"> increasing immediate risk</w:t>
      </w:r>
      <w:r w:rsidR="00522843">
        <w:rPr>
          <w:rFonts w:cs="Arial"/>
          <w:lang w:val="en-CA" w:eastAsia="en-CA"/>
        </w:rPr>
        <w:t>)</w:t>
      </w:r>
      <w:r w:rsidR="00A70F51">
        <w:rPr>
          <w:rFonts w:cs="Arial"/>
          <w:lang w:val="en-CA" w:eastAsia="en-CA"/>
        </w:rPr>
        <w:t xml:space="preserve">, </w:t>
      </w:r>
      <w:r w:rsidR="00CD5475">
        <w:rPr>
          <w:rFonts w:cs="Arial"/>
          <w:lang w:val="en-CA" w:eastAsia="en-CA"/>
        </w:rPr>
        <w:t>suggesting</w:t>
      </w:r>
      <w:r w:rsidR="00A70F51">
        <w:rPr>
          <w:rFonts w:cs="Arial"/>
          <w:lang w:val="en-CA" w:eastAsia="en-CA"/>
        </w:rPr>
        <w:t xml:space="preserve"> that a combination of these </w:t>
      </w:r>
      <w:r w:rsidR="007A3DA5">
        <w:rPr>
          <w:rFonts w:cs="Arial"/>
          <w:lang w:val="en-CA" w:eastAsia="en-CA"/>
        </w:rPr>
        <w:t>elements</w:t>
      </w:r>
      <w:r w:rsidR="00A70F51">
        <w:rPr>
          <w:rFonts w:cs="Arial"/>
          <w:lang w:val="en-CA" w:eastAsia="en-CA"/>
        </w:rPr>
        <w:t xml:space="preserve"> </w:t>
      </w:r>
      <w:r w:rsidR="00D817B4">
        <w:rPr>
          <w:rFonts w:cs="Arial"/>
          <w:lang w:val="en-CA" w:eastAsia="en-CA"/>
        </w:rPr>
        <w:t>increases the likelihood of</w:t>
      </w:r>
      <w:r w:rsidR="00A70F51">
        <w:rPr>
          <w:rFonts w:cs="Arial"/>
          <w:lang w:val="en-CA" w:eastAsia="en-CA"/>
        </w:rPr>
        <w:t xml:space="preserve"> criminal behaviour</w:t>
      </w:r>
      <w:r w:rsidR="00264379">
        <w:rPr>
          <w:rFonts w:cs="Arial"/>
          <w:lang w:val="en-CA" w:eastAsia="en-CA"/>
        </w:rPr>
        <w:t xml:space="preserve"> (Farrington, 2019)</w:t>
      </w:r>
      <w:r w:rsidR="00A70F51">
        <w:rPr>
          <w:rFonts w:cs="Arial"/>
          <w:lang w:val="en-CA" w:eastAsia="en-CA"/>
        </w:rPr>
        <w:t>.</w:t>
      </w:r>
      <w:r w:rsidR="00500AA8">
        <w:rPr>
          <w:rFonts w:cs="Arial"/>
          <w:lang w:val="en-CA" w:eastAsia="en-CA"/>
        </w:rPr>
        <w:t xml:space="preserve"> </w:t>
      </w:r>
    </w:p>
    <w:p w14:paraId="7040ECE1" w14:textId="38BA102F" w:rsidR="002F5E9C" w:rsidRDefault="00500AA8" w:rsidP="00B92472">
      <w:pPr>
        <w:rPr>
          <w:rFonts w:cs="Arial"/>
          <w:b/>
          <w:bCs/>
          <w:lang w:val="en-CA" w:eastAsia="en-CA"/>
        </w:rPr>
      </w:pPr>
      <w:r>
        <w:rPr>
          <w:rFonts w:cs="Arial"/>
          <w:lang w:val="en-CA" w:eastAsia="en-CA"/>
        </w:rPr>
        <w:t xml:space="preserve">Early-life risk factors that are slow-changing depend largely on impulsiveness and the process of modeling and socialization such as having criminal family members or peers (Farrington, 2019). </w:t>
      </w:r>
      <w:r w:rsidR="00CD5475">
        <w:rPr>
          <w:rFonts w:cs="Arial"/>
          <w:lang w:val="en-CA" w:eastAsia="en-CA"/>
        </w:rPr>
        <w:t>By contrast,</w:t>
      </w:r>
      <w:r>
        <w:rPr>
          <w:rFonts w:cs="Arial"/>
          <w:lang w:val="en-CA" w:eastAsia="en-CA"/>
        </w:rPr>
        <w:t xml:space="preserve"> situational risk factors are quick-changing and depend on motivation and situational influences such as being bored, angry, or the availability of victims (Farrington, 2019). </w:t>
      </w:r>
      <w:r w:rsidR="00922F00">
        <w:rPr>
          <w:rFonts w:cs="Arial"/>
          <w:lang w:val="en-CA" w:eastAsia="en-CA"/>
        </w:rPr>
        <w:t>To illustrate</w:t>
      </w:r>
      <w:r w:rsidR="00432F4F">
        <w:rPr>
          <w:rFonts w:cs="Arial"/>
          <w:lang w:val="en-CA" w:eastAsia="en-CA"/>
        </w:rPr>
        <w:t xml:space="preserve">: </w:t>
      </w:r>
    </w:p>
    <w:p w14:paraId="64B2E4CC" w14:textId="7DD0A84B" w:rsidR="00A2331F" w:rsidRPr="00F039BF" w:rsidRDefault="00A2331F" w:rsidP="00B92472">
      <w:pPr>
        <w:rPr>
          <w:rFonts w:cs="Arial"/>
          <w:b/>
          <w:bCs/>
          <w:lang w:val="en-CA" w:eastAsia="en-CA"/>
        </w:rPr>
      </w:pPr>
      <w:r w:rsidRPr="00F039BF">
        <w:rPr>
          <w:rFonts w:cs="Arial"/>
          <w:b/>
          <w:bCs/>
          <w:lang w:val="en-CA" w:eastAsia="en-CA"/>
        </w:rPr>
        <w:t>Early-life</w:t>
      </w:r>
      <w:r w:rsidR="002F5E9C">
        <w:rPr>
          <w:rFonts w:cs="Arial"/>
          <w:b/>
          <w:bCs/>
          <w:lang w:val="en-CA" w:eastAsia="en-CA"/>
        </w:rPr>
        <w:t xml:space="preserve"> (long-term)</w:t>
      </w:r>
      <w:r w:rsidRPr="00F039BF">
        <w:rPr>
          <w:rFonts w:cs="Arial"/>
          <w:b/>
          <w:bCs/>
          <w:lang w:val="en-CA" w:eastAsia="en-CA"/>
        </w:rPr>
        <w:t xml:space="preserve"> risk factors</w:t>
      </w:r>
      <w:r w:rsidR="00CD5475">
        <w:rPr>
          <w:rFonts w:cs="Arial"/>
          <w:b/>
          <w:bCs/>
          <w:lang w:val="en-CA" w:eastAsia="en-CA"/>
        </w:rPr>
        <w:t xml:space="preserve"> include</w:t>
      </w:r>
      <w:r w:rsidRPr="00F039BF">
        <w:rPr>
          <w:rFonts w:cs="Arial"/>
          <w:b/>
          <w:bCs/>
          <w:lang w:val="en-CA" w:eastAsia="en-CA"/>
        </w:rPr>
        <w:t>:</w:t>
      </w:r>
    </w:p>
    <w:p w14:paraId="4B7A6490" w14:textId="18DE8578" w:rsidR="00A2331F" w:rsidRDefault="00036FF7" w:rsidP="00A2331F">
      <w:pPr>
        <w:pStyle w:val="ListParagraph"/>
        <w:numPr>
          <w:ilvl w:val="0"/>
          <w:numId w:val="12"/>
        </w:numPr>
        <w:rPr>
          <w:rFonts w:cs="Arial"/>
          <w:lang w:eastAsia="en-CA"/>
        </w:rPr>
      </w:pPr>
      <w:r w:rsidRPr="00036FF7">
        <w:rPr>
          <w:rFonts w:cs="Arial"/>
          <w:lang w:eastAsia="en-CA"/>
        </w:rPr>
        <w:t>Neglectful and abusive parenting</w:t>
      </w:r>
    </w:p>
    <w:p w14:paraId="7462CB96" w14:textId="592C8AA6" w:rsidR="00F05C05" w:rsidRDefault="00F05C05" w:rsidP="00A2331F">
      <w:pPr>
        <w:pStyle w:val="ListParagraph"/>
        <w:numPr>
          <w:ilvl w:val="0"/>
          <w:numId w:val="12"/>
        </w:numPr>
        <w:rPr>
          <w:rFonts w:cs="Arial"/>
          <w:lang w:eastAsia="en-CA"/>
        </w:rPr>
      </w:pPr>
      <w:r>
        <w:rPr>
          <w:rFonts w:cs="Arial"/>
          <w:lang w:eastAsia="en-CA"/>
        </w:rPr>
        <w:t>Financial instability</w:t>
      </w:r>
    </w:p>
    <w:p w14:paraId="53AC9186" w14:textId="25155EBE" w:rsidR="00A2331F" w:rsidRDefault="00A2331F" w:rsidP="00A2331F">
      <w:pPr>
        <w:pStyle w:val="ListParagraph"/>
        <w:numPr>
          <w:ilvl w:val="0"/>
          <w:numId w:val="12"/>
        </w:numPr>
        <w:rPr>
          <w:rFonts w:cs="Arial"/>
          <w:lang w:eastAsia="en-CA"/>
        </w:rPr>
      </w:pPr>
      <w:r>
        <w:rPr>
          <w:rFonts w:cs="Arial"/>
          <w:lang w:eastAsia="en-CA"/>
        </w:rPr>
        <w:t>Low school achievement</w:t>
      </w:r>
    </w:p>
    <w:p w14:paraId="00650A0E" w14:textId="25467E5E" w:rsidR="00F05C05" w:rsidRPr="00F05C05" w:rsidRDefault="00A2331F" w:rsidP="00F05C05">
      <w:pPr>
        <w:pStyle w:val="ListParagraph"/>
        <w:numPr>
          <w:ilvl w:val="0"/>
          <w:numId w:val="12"/>
        </w:numPr>
        <w:rPr>
          <w:rFonts w:cs="Arial"/>
          <w:lang w:eastAsia="en-CA"/>
        </w:rPr>
      </w:pPr>
      <w:r>
        <w:rPr>
          <w:rFonts w:cs="Arial"/>
          <w:lang w:eastAsia="en-CA"/>
        </w:rPr>
        <w:t>Association with delinquent peers</w:t>
      </w:r>
    </w:p>
    <w:p w14:paraId="6AA303EC" w14:textId="550BB656" w:rsidR="00A2331F" w:rsidRPr="00F039BF" w:rsidRDefault="00A2331F" w:rsidP="00A2331F">
      <w:pPr>
        <w:rPr>
          <w:rFonts w:cs="Arial"/>
          <w:b/>
          <w:bCs/>
          <w:lang w:eastAsia="en-CA"/>
        </w:rPr>
      </w:pPr>
      <w:r w:rsidRPr="00F039BF">
        <w:rPr>
          <w:rFonts w:cs="Arial"/>
          <w:b/>
          <w:bCs/>
          <w:lang w:eastAsia="en-CA"/>
        </w:rPr>
        <w:t xml:space="preserve">Situational </w:t>
      </w:r>
      <w:r w:rsidR="002F5E9C">
        <w:rPr>
          <w:rFonts w:cs="Arial"/>
          <w:b/>
          <w:bCs/>
          <w:lang w:eastAsia="en-CA"/>
        </w:rPr>
        <w:t>(</w:t>
      </w:r>
      <w:r w:rsidR="00756BC4">
        <w:rPr>
          <w:rFonts w:cs="Arial"/>
          <w:b/>
          <w:bCs/>
          <w:lang w:eastAsia="en-CA"/>
        </w:rPr>
        <w:t>short-term</w:t>
      </w:r>
      <w:r w:rsidR="002F5E9C">
        <w:rPr>
          <w:rFonts w:cs="Arial"/>
          <w:b/>
          <w:bCs/>
          <w:lang w:eastAsia="en-CA"/>
        </w:rPr>
        <w:t xml:space="preserve">) </w:t>
      </w:r>
      <w:r w:rsidRPr="00F039BF">
        <w:rPr>
          <w:rFonts w:cs="Arial"/>
          <w:b/>
          <w:bCs/>
          <w:lang w:eastAsia="en-CA"/>
        </w:rPr>
        <w:t>risk factors</w:t>
      </w:r>
      <w:r w:rsidR="00CD5475">
        <w:rPr>
          <w:rFonts w:cs="Arial"/>
          <w:b/>
          <w:bCs/>
          <w:lang w:eastAsia="en-CA"/>
        </w:rPr>
        <w:t xml:space="preserve"> include</w:t>
      </w:r>
      <w:r w:rsidRPr="00F039BF">
        <w:rPr>
          <w:rFonts w:cs="Arial"/>
          <w:b/>
          <w:bCs/>
          <w:lang w:eastAsia="en-CA"/>
        </w:rPr>
        <w:t>:</w:t>
      </w:r>
    </w:p>
    <w:p w14:paraId="7687392A" w14:textId="62ED6E64" w:rsidR="00A2331F" w:rsidRDefault="00A2331F" w:rsidP="00A2331F">
      <w:pPr>
        <w:pStyle w:val="ListParagraph"/>
        <w:numPr>
          <w:ilvl w:val="0"/>
          <w:numId w:val="13"/>
        </w:numPr>
        <w:rPr>
          <w:rFonts w:cs="Arial"/>
          <w:lang w:eastAsia="en-CA"/>
        </w:rPr>
      </w:pPr>
      <w:r>
        <w:rPr>
          <w:rFonts w:cs="Arial"/>
          <w:lang w:eastAsia="en-CA"/>
        </w:rPr>
        <w:t>Lack of supervision</w:t>
      </w:r>
    </w:p>
    <w:p w14:paraId="57E255AB" w14:textId="4F1B73CE" w:rsidR="00A2331F" w:rsidRDefault="00A2331F" w:rsidP="00A2331F">
      <w:pPr>
        <w:pStyle w:val="ListParagraph"/>
        <w:numPr>
          <w:ilvl w:val="0"/>
          <w:numId w:val="13"/>
        </w:numPr>
        <w:rPr>
          <w:rFonts w:cs="Arial"/>
          <w:lang w:eastAsia="en-CA"/>
        </w:rPr>
      </w:pPr>
      <w:r>
        <w:rPr>
          <w:rFonts w:cs="Arial"/>
          <w:lang w:eastAsia="en-CA"/>
        </w:rPr>
        <w:t>Alcohol/substance use</w:t>
      </w:r>
    </w:p>
    <w:p w14:paraId="73EACDD2" w14:textId="0864B86F" w:rsidR="00A2331F" w:rsidRDefault="00A2331F" w:rsidP="00F039BF">
      <w:pPr>
        <w:pStyle w:val="ListParagraph"/>
        <w:numPr>
          <w:ilvl w:val="0"/>
          <w:numId w:val="13"/>
        </w:numPr>
        <w:rPr>
          <w:rFonts w:cs="Arial"/>
          <w:lang w:eastAsia="en-CA"/>
        </w:rPr>
      </w:pPr>
      <w:r>
        <w:rPr>
          <w:rFonts w:cs="Arial"/>
          <w:lang w:eastAsia="en-CA"/>
        </w:rPr>
        <w:t>Peer pressure</w:t>
      </w:r>
    </w:p>
    <w:p w14:paraId="402A7533" w14:textId="58B5C724" w:rsidR="00D5016B" w:rsidRPr="00A2331F" w:rsidRDefault="00D5016B" w:rsidP="00F039BF">
      <w:pPr>
        <w:pStyle w:val="ListParagraph"/>
        <w:numPr>
          <w:ilvl w:val="0"/>
          <w:numId w:val="13"/>
        </w:numPr>
        <w:rPr>
          <w:rFonts w:cs="Arial"/>
          <w:lang w:eastAsia="en-CA"/>
        </w:rPr>
      </w:pPr>
      <w:r>
        <w:rPr>
          <w:rFonts w:cs="Arial"/>
          <w:lang w:eastAsia="en-CA"/>
        </w:rPr>
        <w:t>Impulsivity</w:t>
      </w:r>
    </w:p>
    <w:p w14:paraId="5CBF85CA" w14:textId="72B420CD" w:rsidR="00425955" w:rsidRDefault="00432F4F" w:rsidP="00425955">
      <w:pPr>
        <w:rPr>
          <w:rFonts w:cs="Arial"/>
          <w:lang w:val="en-CA" w:eastAsia="en-CA"/>
        </w:rPr>
      </w:pPr>
      <w:r>
        <w:rPr>
          <w:rFonts w:cs="Arial"/>
          <w:lang w:val="en-CA" w:eastAsia="en-CA"/>
        </w:rPr>
        <w:t>R</w:t>
      </w:r>
      <w:r w:rsidR="003E6C7A">
        <w:rPr>
          <w:rFonts w:cs="Arial"/>
          <w:lang w:val="en-CA" w:eastAsia="en-CA"/>
        </w:rPr>
        <w:t xml:space="preserve">ecent </w:t>
      </w:r>
      <w:r w:rsidR="00900594">
        <w:rPr>
          <w:rFonts w:cs="Arial"/>
          <w:lang w:val="en-CA" w:eastAsia="en-CA"/>
        </w:rPr>
        <w:t>findings from a systematic review</w:t>
      </w:r>
      <w:r w:rsidR="003E6C7A">
        <w:rPr>
          <w:rFonts w:cs="Arial"/>
          <w:lang w:val="en-CA" w:eastAsia="en-CA"/>
        </w:rPr>
        <w:t xml:space="preserve"> have </w:t>
      </w:r>
      <w:r>
        <w:rPr>
          <w:rFonts w:cs="Arial"/>
          <w:lang w:val="en-CA" w:eastAsia="en-CA"/>
        </w:rPr>
        <w:t xml:space="preserve">further </w:t>
      </w:r>
      <w:r w:rsidR="003E6C7A">
        <w:rPr>
          <w:rFonts w:cs="Arial"/>
          <w:lang w:val="en-CA" w:eastAsia="en-CA"/>
        </w:rPr>
        <w:t xml:space="preserve">supported </w:t>
      </w:r>
      <w:r>
        <w:rPr>
          <w:rFonts w:cs="Arial"/>
          <w:lang w:val="en-CA" w:eastAsia="en-CA"/>
        </w:rPr>
        <w:t>Farrington’s</w:t>
      </w:r>
      <w:r w:rsidR="001161C5">
        <w:rPr>
          <w:rFonts w:cs="Arial"/>
          <w:lang w:val="en-CA" w:eastAsia="en-CA"/>
        </w:rPr>
        <w:t xml:space="preserve"> ICAP theory</w:t>
      </w:r>
      <w:r>
        <w:rPr>
          <w:rFonts w:cs="Arial"/>
          <w:lang w:val="en-CA" w:eastAsia="en-CA"/>
        </w:rPr>
        <w:t>,</w:t>
      </w:r>
      <w:r w:rsidR="003E6C7A">
        <w:rPr>
          <w:rFonts w:cs="Arial"/>
          <w:lang w:val="en-CA" w:eastAsia="en-CA"/>
        </w:rPr>
        <w:t xml:space="preserve"> </w:t>
      </w:r>
      <w:r>
        <w:rPr>
          <w:rFonts w:cs="Arial"/>
          <w:lang w:val="en-CA" w:eastAsia="en-CA"/>
        </w:rPr>
        <w:t xml:space="preserve">highlighting </w:t>
      </w:r>
      <w:r w:rsidR="00BD2065">
        <w:rPr>
          <w:rFonts w:cs="Arial"/>
          <w:lang w:val="en-CA" w:eastAsia="en-CA"/>
        </w:rPr>
        <w:t xml:space="preserve">how </w:t>
      </w:r>
      <w:r w:rsidR="003E6C7A">
        <w:rPr>
          <w:rFonts w:cs="Arial"/>
          <w:lang w:val="en-CA" w:eastAsia="en-CA"/>
        </w:rPr>
        <w:t>early-life and situational factors</w:t>
      </w:r>
      <w:r w:rsidR="00BD2065">
        <w:rPr>
          <w:rFonts w:cs="Arial"/>
          <w:lang w:val="en-CA" w:eastAsia="en-CA"/>
        </w:rPr>
        <w:t xml:space="preserve"> </w:t>
      </w:r>
      <w:r w:rsidR="003E6C7A">
        <w:rPr>
          <w:rFonts w:cs="Arial"/>
          <w:lang w:val="en-CA" w:eastAsia="en-CA"/>
        </w:rPr>
        <w:t xml:space="preserve">can work concurrently to increase risk of </w:t>
      </w:r>
      <w:r w:rsidR="00C2665F">
        <w:rPr>
          <w:rFonts w:cs="Arial"/>
          <w:lang w:val="en-CA" w:eastAsia="en-CA"/>
        </w:rPr>
        <w:t xml:space="preserve">later </w:t>
      </w:r>
      <w:r w:rsidR="003E6C7A">
        <w:rPr>
          <w:rFonts w:cs="Arial"/>
          <w:lang w:val="en-CA" w:eastAsia="en-CA"/>
        </w:rPr>
        <w:t>offending</w:t>
      </w:r>
      <w:r w:rsidR="00C2665F">
        <w:rPr>
          <w:rFonts w:cs="Arial"/>
          <w:lang w:val="en-CA" w:eastAsia="en-CA"/>
        </w:rPr>
        <w:t xml:space="preserve"> (Ayano et al., 2024)</w:t>
      </w:r>
      <w:r w:rsidR="003E6C7A">
        <w:rPr>
          <w:rFonts w:cs="Arial"/>
          <w:lang w:val="en-CA" w:eastAsia="en-CA"/>
        </w:rPr>
        <w:t>.</w:t>
      </w:r>
      <w:r w:rsidR="00511B17">
        <w:rPr>
          <w:rFonts w:cs="Arial"/>
          <w:lang w:val="en-CA" w:eastAsia="en-CA"/>
        </w:rPr>
        <w:t xml:space="preserve"> </w:t>
      </w:r>
      <w:r w:rsidR="00C16089">
        <w:rPr>
          <w:rFonts w:cs="Arial"/>
          <w:lang w:val="en-CA" w:eastAsia="en-CA"/>
        </w:rPr>
        <w:t xml:space="preserve">These risk factors, if </w:t>
      </w:r>
      <w:r w:rsidR="00CD5DC0" w:rsidRPr="002F1544">
        <w:rPr>
          <w:rFonts w:cs="Arial"/>
          <w:lang w:val="en-CA" w:eastAsia="en-CA"/>
        </w:rPr>
        <w:t xml:space="preserve">identified in </w:t>
      </w:r>
      <w:r w:rsidR="00C16089">
        <w:rPr>
          <w:rFonts w:cs="Arial"/>
          <w:lang w:val="en-CA" w:eastAsia="en-CA"/>
        </w:rPr>
        <w:t>early-life, may be resolv</w:t>
      </w:r>
      <w:r w:rsidR="006F7285">
        <w:rPr>
          <w:rFonts w:cs="Arial"/>
          <w:lang w:val="en-CA" w:eastAsia="en-CA"/>
        </w:rPr>
        <w:t>ed</w:t>
      </w:r>
      <w:r w:rsidR="00C16089">
        <w:rPr>
          <w:rFonts w:cs="Arial"/>
          <w:lang w:val="en-CA" w:eastAsia="en-CA"/>
        </w:rPr>
        <w:t xml:space="preserve"> with early intervention (</w:t>
      </w:r>
      <w:r w:rsidR="00CD5475">
        <w:rPr>
          <w:rFonts w:cs="Arial"/>
          <w:lang w:val="en-CA" w:eastAsia="en-CA"/>
        </w:rPr>
        <w:t>for example,</w:t>
      </w:r>
      <w:r w:rsidR="00C16089">
        <w:rPr>
          <w:rFonts w:cs="Arial"/>
          <w:lang w:val="en-CA" w:eastAsia="en-CA"/>
        </w:rPr>
        <w:t xml:space="preserve"> primary or secondary</w:t>
      </w:r>
      <w:r w:rsidR="00CD5475">
        <w:rPr>
          <w:rFonts w:cs="Arial"/>
          <w:lang w:val="en-CA" w:eastAsia="en-CA"/>
        </w:rPr>
        <w:t xml:space="preserve"> interventions</w:t>
      </w:r>
      <w:r w:rsidR="00C16089">
        <w:rPr>
          <w:rFonts w:cs="Arial"/>
          <w:lang w:val="en-CA" w:eastAsia="en-CA"/>
        </w:rPr>
        <w:t xml:space="preserve">) </w:t>
      </w:r>
      <w:r w:rsidR="006F7285">
        <w:rPr>
          <w:rFonts w:cs="Arial"/>
          <w:lang w:val="en-CA" w:eastAsia="en-CA"/>
        </w:rPr>
        <w:t>that</w:t>
      </w:r>
      <w:r w:rsidR="00C16089">
        <w:rPr>
          <w:rFonts w:cs="Arial"/>
          <w:lang w:val="en-CA" w:eastAsia="en-CA"/>
        </w:rPr>
        <w:t xml:space="preserve"> circumvent criminal behaviour altogether.</w:t>
      </w:r>
      <w:r w:rsidR="000C6B4D">
        <w:rPr>
          <w:rFonts w:cs="Arial"/>
          <w:lang w:val="en-CA" w:eastAsia="en-CA"/>
        </w:rPr>
        <w:t xml:space="preserve"> However, once an individual engages in criminal behaviour, tertiary crime prevention strategies are needed to reduce the likelihood of re-offending. </w:t>
      </w:r>
    </w:p>
    <w:p w14:paraId="719EA7A6" w14:textId="287CA030" w:rsidR="00425955" w:rsidRDefault="00425955" w:rsidP="006C6F06">
      <w:pPr>
        <w:pStyle w:val="Alert-type-info"/>
        <w:rPr>
          <w:lang w:eastAsia="en-CA"/>
        </w:rPr>
      </w:pPr>
      <w:r w:rsidRPr="00425955">
        <w:rPr>
          <w:lang w:eastAsia="en-CA"/>
        </w:rPr>
        <w:t>Tyler's</w:t>
      </w:r>
      <w:r>
        <w:rPr>
          <w:lang w:eastAsia="en-CA"/>
        </w:rPr>
        <w:t xml:space="preserve"> early</w:t>
      </w:r>
      <w:r w:rsidR="00290A3E">
        <w:rPr>
          <w:lang w:eastAsia="en-CA"/>
        </w:rPr>
        <w:t>-</w:t>
      </w:r>
      <w:r>
        <w:rPr>
          <w:lang w:eastAsia="en-CA"/>
        </w:rPr>
        <w:t>life</w:t>
      </w:r>
      <w:r w:rsidRPr="00425955">
        <w:rPr>
          <w:lang w:eastAsia="en-CA"/>
        </w:rPr>
        <w:t xml:space="preserve"> </w:t>
      </w:r>
      <w:r w:rsidR="00290A3E">
        <w:rPr>
          <w:lang w:eastAsia="en-CA"/>
        </w:rPr>
        <w:t>experiences</w:t>
      </w:r>
      <w:r w:rsidRPr="00425955">
        <w:rPr>
          <w:lang w:eastAsia="en-CA"/>
        </w:rPr>
        <w:t xml:space="preserve"> highlight several risk factors</w:t>
      </w:r>
      <w:r w:rsidR="00533884">
        <w:rPr>
          <w:lang w:eastAsia="en-CA"/>
        </w:rPr>
        <w:t xml:space="preserve"> outlined in Farrington’s ICAP theory</w:t>
      </w:r>
      <w:r w:rsidRPr="00425955">
        <w:rPr>
          <w:lang w:eastAsia="en-CA"/>
        </w:rPr>
        <w:t>, including</w:t>
      </w:r>
      <w:r>
        <w:rPr>
          <w:lang w:eastAsia="en-CA"/>
        </w:rPr>
        <w:t>:</w:t>
      </w:r>
      <w:r w:rsidRPr="00425955">
        <w:rPr>
          <w:lang w:eastAsia="en-CA"/>
        </w:rPr>
        <w:t xml:space="preserve"> financial instability</w:t>
      </w:r>
      <w:r>
        <w:rPr>
          <w:lang w:eastAsia="en-CA"/>
        </w:rPr>
        <w:t xml:space="preserve">; </w:t>
      </w:r>
      <w:r w:rsidRPr="00425955">
        <w:rPr>
          <w:lang w:eastAsia="en-CA"/>
        </w:rPr>
        <w:t xml:space="preserve">exposure to </w:t>
      </w:r>
      <w:r>
        <w:rPr>
          <w:lang w:eastAsia="en-CA"/>
        </w:rPr>
        <w:t>physical, psychological, and emotional</w:t>
      </w:r>
      <w:r w:rsidRPr="00425955">
        <w:rPr>
          <w:lang w:eastAsia="en-CA"/>
        </w:rPr>
        <w:t xml:space="preserve"> violence</w:t>
      </w:r>
      <w:r>
        <w:rPr>
          <w:lang w:eastAsia="en-CA"/>
        </w:rPr>
        <w:t xml:space="preserve"> in the home;</w:t>
      </w:r>
      <w:r w:rsidRPr="00425955">
        <w:rPr>
          <w:lang w:eastAsia="en-CA"/>
        </w:rPr>
        <w:t xml:space="preserve"> parental criminal behavio</w:t>
      </w:r>
      <w:r w:rsidR="008A270E">
        <w:rPr>
          <w:lang w:eastAsia="en-CA"/>
        </w:rPr>
        <w:t>u</w:t>
      </w:r>
      <w:r w:rsidRPr="00425955">
        <w:rPr>
          <w:lang w:eastAsia="en-CA"/>
        </w:rPr>
        <w:t>r</w:t>
      </w:r>
      <w:r>
        <w:rPr>
          <w:lang w:eastAsia="en-CA"/>
        </w:rPr>
        <w:t>;</w:t>
      </w:r>
      <w:r w:rsidRPr="00425955">
        <w:rPr>
          <w:lang w:eastAsia="en-CA"/>
        </w:rPr>
        <w:t xml:space="preserve"> neglect</w:t>
      </w:r>
      <w:r>
        <w:rPr>
          <w:lang w:eastAsia="en-CA"/>
        </w:rPr>
        <w:t>;</w:t>
      </w:r>
      <w:r w:rsidRPr="00425955">
        <w:rPr>
          <w:lang w:eastAsia="en-CA"/>
        </w:rPr>
        <w:t xml:space="preserve"> and inconsistent caregiving. His father's incarceration and subsequent absence </w:t>
      </w:r>
      <w:r w:rsidR="000A002D">
        <w:rPr>
          <w:lang w:eastAsia="en-CA"/>
        </w:rPr>
        <w:t xml:space="preserve">are examples of </w:t>
      </w:r>
      <w:r w:rsidR="00E95555">
        <w:rPr>
          <w:lang w:eastAsia="en-CA"/>
        </w:rPr>
        <w:t>long-term</w:t>
      </w:r>
      <w:r w:rsidR="000A002D">
        <w:rPr>
          <w:lang w:eastAsia="en-CA"/>
        </w:rPr>
        <w:t xml:space="preserve"> risk factors, </w:t>
      </w:r>
      <w:r w:rsidRPr="00425955">
        <w:rPr>
          <w:lang w:eastAsia="en-CA"/>
        </w:rPr>
        <w:t>disrupt</w:t>
      </w:r>
      <w:r w:rsidR="000A002D">
        <w:rPr>
          <w:lang w:eastAsia="en-CA"/>
        </w:rPr>
        <w:t>ing</w:t>
      </w:r>
      <w:r w:rsidRPr="00425955">
        <w:rPr>
          <w:lang w:eastAsia="en-CA"/>
        </w:rPr>
        <w:t xml:space="preserve"> Tyler's sense of security and </w:t>
      </w:r>
      <w:r w:rsidR="0056554A">
        <w:rPr>
          <w:lang w:eastAsia="en-CA"/>
        </w:rPr>
        <w:t xml:space="preserve">attachments to the </w:t>
      </w:r>
      <w:r w:rsidRPr="00425955">
        <w:rPr>
          <w:lang w:eastAsia="en-CA"/>
        </w:rPr>
        <w:t>primary adult</w:t>
      </w:r>
      <w:r w:rsidR="0056554A">
        <w:rPr>
          <w:lang w:eastAsia="en-CA"/>
        </w:rPr>
        <w:t>s in his life</w:t>
      </w:r>
      <w:r w:rsidRPr="00425955">
        <w:rPr>
          <w:lang w:eastAsia="en-CA"/>
        </w:rPr>
        <w:t xml:space="preserve">. </w:t>
      </w:r>
      <w:r w:rsidR="000A002D">
        <w:rPr>
          <w:lang w:eastAsia="en-CA"/>
        </w:rPr>
        <w:t xml:space="preserve">In contrast, </w:t>
      </w:r>
      <w:r w:rsidRPr="00425955">
        <w:rPr>
          <w:lang w:eastAsia="en-CA"/>
        </w:rPr>
        <w:t>Tyler's early aggressive behavio</w:t>
      </w:r>
      <w:r w:rsidR="008A270E">
        <w:rPr>
          <w:lang w:eastAsia="en-CA"/>
        </w:rPr>
        <w:t>u</w:t>
      </w:r>
      <w:r w:rsidRPr="00425955">
        <w:rPr>
          <w:lang w:eastAsia="en-CA"/>
        </w:rPr>
        <w:t xml:space="preserve">r, lack of supervision, and </w:t>
      </w:r>
      <w:r w:rsidR="008C76AF">
        <w:rPr>
          <w:lang w:eastAsia="en-CA"/>
        </w:rPr>
        <w:t>impulsivity</w:t>
      </w:r>
      <w:r w:rsidR="000A002D">
        <w:rPr>
          <w:lang w:eastAsia="en-CA"/>
        </w:rPr>
        <w:t xml:space="preserve"> are examples of s</w:t>
      </w:r>
      <w:r w:rsidR="00756BC4">
        <w:rPr>
          <w:lang w:eastAsia="en-CA"/>
        </w:rPr>
        <w:t>hort-term</w:t>
      </w:r>
      <w:r w:rsidR="000A002D">
        <w:rPr>
          <w:lang w:eastAsia="en-CA"/>
        </w:rPr>
        <w:t xml:space="preserve"> risk factors. </w:t>
      </w:r>
      <w:r w:rsidR="00E95555">
        <w:rPr>
          <w:lang w:eastAsia="en-CA"/>
        </w:rPr>
        <w:t>Moreover</w:t>
      </w:r>
      <w:r w:rsidRPr="00425955">
        <w:rPr>
          <w:lang w:eastAsia="en-CA"/>
        </w:rPr>
        <w:t>, Tyler's</w:t>
      </w:r>
      <w:r w:rsidR="006655FB">
        <w:rPr>
          <w:lang w:eastAsia="en-CA"/>
        </w:rPr>
        <w:t xml:space="preserve"> unaddressed</w:t>
      </w:r>
      <w:r w:rsidRPr="00425955">
        <w:rPr>
          <w:lang w:eastAsia="en-CA"/>
        </w:rPr>
        <w:t xml:space="preserve"> learning disability and </w:t>
      </w:r>
      <w:r w:rsidR="00106736">
        <w:rPr>
          <w:lang w:eastAsia="en-CA"/>
        </w:rPr>
        <w:t>his attention deficit hyperactivity disorder (</w:t>
      </w:r>
      <w:r w:rsidRPr="00425955">
        <w:rPr>
          <w:lang w:eastAsia="en-CA"/>
        </w:rPr>
        <w:t>ADHD</w:t>
      </w:r>
      <w:r w:rsidR="00106736">
        <w:rPr>
          <w:lang w:eastAsia="en-CA"/>
        </w:rPr>
        <w:t>)</w:t>
      </w:r>
      <w:r w:rsidRPr="00425955">
        <w:rPr>
          <w:lang w:eastAsia="en-CA"/>
        </w:rPr>
        <w:t>, coupled with emotional neglect from his father, exacerbated his difficulties in forming friendships and managing his behavio</w:t>
      </w:r>
      <w:r w:rsidR="008A270E">
        <w:rPr>
          <w:lang w:eastAsia="en-CA"/>
        </w:rPr>
        <w:t>u</w:t>
      </w:r>
      <w:r w:rsidRPr="00425955">
        <w:rPr>
          <w:lang w:eastAsia="en-CA"/>
        </w:rPr>
        <w:t>r, leading to repeated conflicts at school and eventual suspension.</w:t>
      </w:r>
      <w:r w:rsidR="000A002D">
        <w:rPr>
          <w:lang w:eastAsia="en-CA"/>
        </w:rPr>
        <w:t xml:space="preserve"> Such combinations of </w:t>
      </w:r>
      <w:r w:rsidR="00756BC4">
        <w:rPr>
          <w:lang w:eastAsia="en-CA"/>
        </w:rPr>
        <w:t>long-term</w:t>
      </w:r>
      <w:r w:rsidR="000A002D">
        <w:rPr>
          <w:lang w:eastAsia="en-CA"/>
        </w:rPr>
        <w:t xml:space="preserve"> and </w:t>
      </w:r>
      <w:r w:rsidR="00756BC4">
        <w:rPr>
          <w:lang w:eastAsia="en-CA"/>
        </w:rPr>
        <w:t>short-term</w:t>
      </w:r>
      <w:r w:rsidR="000A002D">
        <w:rPr>
          <w:lang w:eastAsia="en-CA"/>
        </w:rPr>
        <w:t xml:space="preserve"> risk factors</w:t>
      </w:r>
      <w:r w:rsidR="000A002D" w:rsidRPr="00425955">
        <w:rPr>
          <w:lang w:eastAsia="en-CA"/>
        </w:rPr>
        <w:t xml:space="preserve"> </w:t>
      </w:r>
      <w:r w:rsidR="006850D9">
        <w:rPr>
          <w:lang w:eastAsia="en-CA"/>
        </w:rPr>
        <w:t>establish the context</w:t>
      </w:r>
      <w:r w:rsidR="00756BC4">
        <w:rPr>
          <w:lang w:eastAsia="en-CA"/>
        </w:rPr>
        <w:t xml:space="preserve"> for Tyler’s</w:t>
      </w:r>
      <w:r w:rsidR="000A002D" w:rsidRPr="00425955">
        <w:rPr>
          <w:lang w:eastAsia="en-CA"/>
        </w:rPr>
        <w:t xml:space="preserve"> pathway towards </w:t>
      </w:r>
      <w:r w:rsidR="00FC5DA9">
        <w:rPr>
          <w:lang w:eastAsia="en-CA"/>
        </w:rPr>
        <w:t xml:space="preserve">eventual </w:t>
      </w:r>
      <w:r w:rsidR="000A002D" w:rsidRPr="00425955">
        <w:rPr>
          <w:lang w:eastAsia="en-CA"/>
        </w:rPr>
        <w:t>criminal justice involvement.</w:t>
      </w:r>
    </w:p>
    <w:p w14:paraId="4DA73AA4" w14:textId="63F71108" w:rsidR="00425955" w:rsidRDefault="00425955" w:rsidP="006C6F06">
      <w:pPr>
        <w:pStyle w:val="Alert-type-info"/>
        <w:rPr>
          <w:lang w:eastAsia="en-CA"/>
        </w:rPr>
      </w:pPr>
      <w:r w:rsidRPr="00425955">
        <w:rPr>
          <w:lang w:eastAsia="en-CA"/>
        </w:rPr>
        <w:t xml:space="preserve">Tyler's adolescence was </w:t>
      </w:r>
      <w:r>
        <w:rPr>
          <w:lang w:eastAsia="en-CA"/>
        </w:rPr>
        <w:t xml:space="preserve">also </w:t>
      </w:r>
      <w:r w:rsidRPr="00425955">
        <w:rPr>
          <w:lang w:eastAsia="en-CA"/>
        </w:rPr>
        <w:t>marked by several</w:t>
      </w:r>
      <w:r w:rsidR="00B518B7">
        <w:rPr>
          <w:lang w:eastAsia="en-CA"/>
        </w:rPr>
        <w:t xml:space="preserve"> long-term and short-term</w:t>
      </w:r>
      <w:r w:rsidRPr="00425955">
        <w:rPr>
          <w:lang w:eastAsia="en-CA"/>
        </w:rPr>
        <w:t xml:space="preserve"> risk factors, including </w:t>
      </w:r>
      <w:r w:rsidR="003F79F2">
        <w:rPr>
          <w:lang w:eastAsia="en-CA"/>
        </w:rPr>
        <w:t xml:space="preserve">an </w:t>
      </w:r>
      <w:r w:rsidR="003F79F2" w:rsidRPr="00425955">
        <w:rPr>
          <w:lang w:eastAsia="en-CA"/>
        </w:rPr>
        <w:t>absence of positive role models</w:t>
      </w:r>
      <w:r w:rsidR="003F79F2">
        <w:rPr>
          <w:lang w:eastAsia="en-CA"/>
        </w:rPr>
        <w:t xml:space="preserve">, </w:t>
      </w:r>
      <w:r w:rsidR="008D7EC2">
        <w:rPr>
          <w:lang w:eastAsia="en-CA"/>
        </w:rPr>
        <w:t xml:space="preserve">lack of attachment to the primary adults in his life, </w:t>
      </w:r>
      <w:r w:rsidRPr="00425955">
        <w:rPr>
          <w:lang w:eastAsia="en-CA"/>
        </w:rPr>
        <w:t>association with delinquent peers</w:t>
      </w:r>
      <w:r w:rsidR="003F79F2">
        <w:rPr>
          <w:lang w:eastAsia="en-CA"/>
        </w:rPr>
        <w:t>, and substance abuse</w:t>
      </w:r>
      <w:r w:rsidRPr="00425955">
        <w:rPr>
          <w:lang w:eastAsia="en-CA"/>
        </w:rPr>
        <w:t xml:space="preserve">. </w:t>
      </w:r>
      <w:r w:rsidR="00D75E00">
        <w:rPr>
          <w:lang w:eastAsia="en-CA"/>
        </w:rPr>
        <w:t xml:space="preserve">Additionally, </w:t>
      </w:r>
      <w:r w:rsidRPr="00425955">
        <w:rPr>
          <w:lang w:eastAsia="en-CA"/>
        </w:rPr>
        <w:t xml:space="preserve">Tyler's declining school performance and </w:t>
      </w:r>
      <w:r w:rsidR="008F0E58">
        <w:rPr>
          <w:lang w:eastAsia="en-CA"/>
        </w:rPr>
        <w:t>absenteeism</w:t>
      </w:r>
      <w:r w:rsidR="008F0E58" w:rsidRPr="00425955">
        <w:rPr>
          <w:lang w:eastAsia="en-CA"/>
        </w:rPr>
        <w:t xml:space="preserve"> </w:t>
      </w:r>
      <w:r w:rsidRPr="00425955">
        <w:rPr>
          <w:lang w:eastAsia="en-CA"/>
        </w:rPr>
        <w:t>contributed to his criminal behavio</w:t>
      </w:r>
      <w:r w:rsidR="008A270E">
        <w:rPr>
          <w:lang w:eastAsia="en-CA"/>
        </w:rPr>
        <w:t>u</w:t>
      </w:r>
      <w:r w:rsidRPr="00425955">
        <w:rPr>
          <w:lang w:eastAsia="en-CA"/>
        </w:rPr>
        <w:t>r</w:t>
      </w:r>
      <w:r w:rsidR="00D75E00">
        <w:rPr>
          <w:lang w:eastAsia="en-CA"/>
        </w:rPr>
        <w:t>; h</w:t>
      </w:r>
      <w:r w:rsidR="00D75E00" w:rsidRPr="00425955">
        <w:rPr>
          <w:lang w:eastAsia="en-CA"/>
        </w:rPr>
        <w:t>is involvement in petty crimes</w:t>
      </w:r>
      <w:r w:rsidR="00D75E00">
        <w:rPr>
          <w:lang w:eastAsia="en-CA"/>
        </w:rPr>
        <w:t xml:space="preserve"> </w:t>
      </w:r>
      <w:r w:rsidR="00D75E00" w:rsidRPr="00425955">
        <w:rPr>
          <w:lang w:eastAsia="en-CA"/>
        </w:rPr>
        <w:t>and vandalism escalated to more serious offen</w:t>
      </w:r>
      <w:r w:rsidR="008A270E">
        <w:rPr>
          <w:lang w:eastAsia="en-CA"/>
        </w:rPr>
        <w:t>c</w:t>
      </w:r>
      <w:r w:rsidR="00D75E00" w:rsidRPr="00425955">
        <w:rPr>
          <w:lang w:eastAsia="en-CA"/>
        </w:rPr>
        <w:t xml:space="preserve">es like theft </w:t>
      </w:r>
      <w:r w:rsidR="00D75E00">
        <w:rPr>
          <w:lang w:eastAsia="en-CA"/>
        </w:rPr>
        <w:t xml:space="preserve">of auto parts </w:t>
      </w:r>
      <w:r w:rsidR="00D75E00" w:rsidRPr="00425955">
        <w:rPr>
          <w:lang w:eastAsia="en-CA"/>
        </w:rPr>
        <w:t>and property damage.</w:t>
      </w:r>
      <w:r w:rsidR="00D75E00">
        <w:rPr>
          <w:lang w:eastAsia="en-CA"/>
        </w:rPr>
        <w:t xml:space="preserve"> </w:t>
      </w:r>
      <w:r w:rsidRPr="00425955">
        <w:rPr>
          <w:lang w:eastAsia="en-CA"/>
        </w:rPr>
        <w:t xml:space="preserve">The lack of </w:t>
      </w:r>
      <w:r w:rsidR="00A0159E">
        <w:rPr>
          <w:lang w:eastAsia="en-CA"/>
        </w:rPr>
        <w:t>non-criminal</w:t>
      </w:r>
      <w:r w:rsidRPr="00425955">
        <w:rPr>
          <w:lang w:eastAsia="en-CA"/>
        </w:rPr>
        <w:t xml:space="preserve"> opportunities for financial stability and insufficient support systems made it difficult for </w:t>
      </w:r>
      <w:r w:rsidR="00A0159E">
        <w:rPr>
          <w:lang w:eastAsia="en-CA"/>
        </w:rPr>
        <w:t>Tyler</w:t>
      </w:r>
      <w:r w:rsidRPr="00425955">
        <w:rPr>
          <w:lang w:eastAsia="en-CA"/>
        </w:rPr>
        <w:t xml:space="preserve"> to break away from his </w:t>
      </w:r>
      <w:r w:rsidR="00A0159E">
        <w:rPr>
          <w:lang w:eastAsia="en-CA"/>
        </w:rPr>
        <w:t xml:space="preserve">delinquent </w:t>
      </w:r>
      <w:r w:rsidRPr="00425955">
        <w:rPr>
          <w:lang w:eastAsia="en-CA"/>
        </w:rPr>
        <w:t>peers, leading to his chronic involvement with the justice system.</w:t>
      </w:r>
      <w:r>
        <w:rPr>
          <w:lang w:eastAsia="en-CA"/>
        </w:rPr>
        <w:t xml:space="preserve"> </w:t>
      </w:r>
    </w:p>
    <w:p w14:paraId="4EAB1104" w14:textId="185541B1" w:rsidR="00CD5DC0" w:rsidRPr="002F1544" w:rsidRDefault="00A80451" w:rsidP="002C377F">
      <w:pPr>
        <w:spacing w:before="240"/>
        <w:rPr>
          <w:rFonts w:cs="Arial"/>
          <w:lang w:val="en-CA" w:eastAsia="en-CA"/>
        </w:rPr>
      </w:pPr>
      <w:r>
        <w:rPr>
          <w:rFonts w:cs="Arial"/>
          <w:lang w:val="en-CA" w:eastAsia="en-CA"/>
        </w:rPr>
        <w:t xml:space="preserve">Aligning with the onset of criminal behaviour, Tyler’s story transitions to a criminological framework of offending to better understand the risk factors involved. </w:t>
      </w:r>
      <w:r w:rsidR="00CC2E9A">
        <w:rPr>
          <w:rFonts w:cs="Arial"/>
          <w:lang w:val="en-CA" w:eastAsia="en-CA"/>
        </w:rPr>
        <w:t>By a</w:t>
      </w:r>
      <w:r w:rsidR="00CC2E9A" w:rsidRPr="00CC2E9A">
        <w:rPr>
          <w:rFonts w:cs="Arial"/>
          <w:lang w:val="en-CA" w:eastAsia="en-CA"/>
        </w:rPr>
        <w:t>dopting a criminological perspective centered on criminogenic risk factors</w:t>
      </w:r>
      <w:r w:rsidR="00CC2E9A">
        <w:rPr>
          <w:rFonts w:cs="Arial"/>
          <w:lang w:val="en-CA" w:eastAsia="en-CA"/>
        </w:rPr>
        <w:t>, it</w:t>
      </w:r>
      <w:r w:rsidR="00CC2E9A" w:rsidRPr="00CC2E9A">
        <w:rPr>
          <w:rFonts w:cs="Arial"/>
          <w:lang w:val="en-CA" w:eastAsia="en-CA"/>
        </w:rPr>
        <w:t xml:space="preserve"> </w:t>
      </w:r>
      <w:r w:rsidR="00CC2E9A">
        <w:rPr>
          <w:rFonts w:cs="Arial"/>
          <w:lang w:val="en-CA" w:eastAsia="en-CA"/>
        </w:rPr>
        <w:t>allows for</w:t>
      </w:r>
      <w:r w:rsidR="00CC2E9A" w:rsidRPr="00CC2E9A">
        <w:rPr>
          <w:rFonts w:cs="Arial"/>
          <w:lang w:val="en-CA" w:eastAsia="en-CA"/>
        </w:rPr>
        <w:t xml:space="preserve"> a more precise identification of key areas to target in treatment and intervention efforts.</w:t>
      </w:r>
      <w:r w:rsidR="00CC2E9A">
        <w:rPr>
          <w:rFonts w:cs="Arial"/>
          <w:lang w:val="en-CA" w:eastAsia="en-CA"/>
        </w:rPr>
        <w:t xml:space="preserve"> </w:t>
      </w:r>
      <w:r w:rsidR="00F1127B">
        <w:rPr>
          <w:rFonts w:cs="Arial"/>
          <w:lang w:val="en-CA" w:eastAsia="en-CA"/>
        </w:rPr>
        <w:t>T</w:t>
      </w:r>
      <w:r w:rsidR="00F1127B" w:rsidRPr="002F1544">
        <w:rPr>
          <w:rFonts w:cs="Arial"/>
          <w:lang w:val="en-CA" w:eastAsia="en-CA"/>
        </w:rPr>
        <w:t xml:space="preserve">he </w:t>
      </w:r>
      <w:r w:rsidR="00CD5DC0" w:rsidRPr="002F1544">
        <w:rPr>
          <w:rFonts w:cs="Arial"/>
          <w:lang w:val="en-CA" w:eastAsia="en-CA"/>
        </w:rPr>
        <w:t xml:space="preserve">“Central Eight” model – </w:t>
      </w:r>
      <w:r w:rsidR="00F1127B" w:rsidRPr="00A34280">
        <w:rPr>
          <w:rFonts w:cs="Arial"/>
          <w:lang w:val="en-CA" w:eastAsia="en-CA"/>
        </w:rPr>
        <w:t>a</w:t>
      </w:r>
      <w:r w:rsidR="00202EE2">
        <w:rPr>
          <w:rFonts w:cs="Arial"/>
          <w:lang w:val="en-CA" w:eastAsia="en-CA"/>
        </w:rPr>
        <w:t>n evidence</w:t>
      </w:r>
      <w:r w:rsidR="00EB69DA">
        <w:rPr>
          <w:rFonts w:cs="Arial"/>
          <w:lang w:val="en-CA" w:eastAsia="en-CA"/>
        </w:rPr>
        <w:t>-</w:t>
      </w:r>
      <w:r w:rsidR="00202EE2">
        <w:rPr>
          <w:rFonts w:cs="Arial"/>
          <w:lang w:val="en-CA" w:eastAsia="en-CA"/>
        </w:rPr>
        <w:t>based</w:t>
      </w:r>
      <w:r w:rsidR="00F1127B" w:rsidRPr="00A34280">
        <w:rPr>
          <w:rFonts w:cs="Arial"/>
          <w:lang w:val="en-CA" w:eastAsia="en-CA"/>
        </w:rPr>
        <w:t xml:space="preserve"> </w:t>
      </w:r>
      <w:r w:rsidR="00F1127B" w:rsidRPr="00F039BF">
        <w:rPr>
          <w:rFonts w:cs="Arial"/>
          <w:lang w:val="en-CA" w:eastAsia="en-CA"/>
        </w:rPr>
        <w:t>rehabilitative</w:t>
      </w:r>
      <w:r w:rsidR="00F1127B" w:rsidRPr="00A34280">
        <w:rPr>
          <w:rFonts w:cs="Arial"/>
          <w:lang w:val="en-CA" w:eastAsia="en-CA"/>
        </w:rPr>
        <w:t xml:space="preserve"> </w:t>
      </w:r>
      <w:r w:rsidR="00CD5DC0" w:rsidRPr="002F1544">
        <w:rPr>
          <w:rFonts w:cs="Arial"/>
          <w:lang w:val="en-CA" w:eastAsia="en-CA"/>
        </w:rPr>
        <w:t xml:space="preserve">model </w:t>
      </w:r>
      <w:r w:rsidR="001B00C6">
        <w:rPr>
          <w:rFonts w:cs="Arial"/>
          <w:lang w:val="en-CA" w:eastAsia="en-CA"/>
        </w:rPr>
        <w:t xml:space="preserve">within </w:t>
      </w:r>
      <w:r w:rsidR="00646E55">
        <w:rPr>
          <w:rFonts w:cs="Arial"/>
          <w:lang w:val="en-CA" w:eastAsia="en-CA"/>
        </w:rPr>
        <w:t xml:space="preserve">Bonta </w:t>
      </w:r>
      <w:r w:rsidR="00790E9D">
        <w:rPr>
          <w:rFonts w:cs="Arial"/>
          <w:lang w:val="en-CA" w:eastAsia="en-CA"/>
        </w:rPr>
        <w:t>and</w:t>
      </w:r>
      <w:r w:rsidR="00646E55">
        <w:rPr>
          <w:rFonts w:cs="Arial"/>
          <w:lang w:val="en-CA" w:eastAsia="en-CA"/>
        </w:rPr>
        <w:t xml:space="preserve"> Andrew’s</w:t>
      </w:r>
      <w:r w:rsidR="00EA4404">
        <w:rPr>
          <w:rFonts w:cs="Arial"/>
          <w:lang w:val="en-CA" w:eastAsia="en-CA"/>
        </w:rPr>
        <w:t xml:space="preserve"> </w:t>
      </w:r>
      <w:r w:rsidR="009B14D4">
        <w:rPr>
          <w:rFonts w:cs="Arial"/>
          <w:lang w:val="en-CA" w:eastAsia="en-CA"/>
        </w:rPr>
        <w:t xml:space="preserve">General Personality and Cognitive Social Learning (GPCSL) theory </w:t>
      </w:r>
      <w:r w:rsidR="00F1127B" w:rsidRPr="00A34280">
        <w:rPr>
          <w:rFonts w:cs="Arial"/>
          <w:lang w:val="en-CA" w:eastAsia="en-CA"/>
        </w:rPr>
        <w:t xml:space="preserve">– </w:t>
      </w:r>
      <w:r w:rsidR="00CD5DC0" w:rsidRPr="002F1544">
        <w:rPr>
          <w:rFonts w:cs="Arial"/>
          <w:lang w:val="en-CA" w:eastAsia="en-CA"/>
        </w:rPr>
        <w:t>outlines</w:t>
      </w:r>
      <w:r w:rsidR="00CD5DC0">
        <w:rPr>
          <w:rFonts w:cs="Arial"/>
          <w:lang w:val="en-CA" w:eastAsia="en-CA"/>
        </w:rPr>
        <w:t xml:space="preserve"> eight</w:t>
      </w:r>
      <w:r w:rsidR="007314DE" w:rsidRPr="002F1544">
        <w:rPr>
          <w:rFonts w:cs="Arial"/>
          <w:lang w:val="en-CA" w:eastAsia="en-CA"/>
        </w:rPr>
        <w:t xml:space="preserve"> </w:t>
      </w:r>
      <w:r w:rsidR="00CD5DC0" w:rsidRPr="002F1544">
        <w:rPr>
          <w:rFonts w:cs="Arial"/>
          <w:lang w:val="en-CA" w:eastAsia="en-CA"/>
        </w:rPr>
        <w:t xml:space="preserve">broad risk factors that have demonstrated the strongest relationship to </w:t>
      </w:r>
      <w:r w:rsidR="00F1127B" w:rsidRPr="00F039BF">
        <w:rPr>
          <w:rFonts w:cs="Arial"/>
          <w:lang w:val="en-CA" w:eastAsia="en-CA"/>
        </w:rPr>
        <w:t>recurring</w:t>
      </w:r>
      <w:r w:rsidR="00F1127B">
        <w:rPr>
          <w:rFonts w:cs="Arial"/>
          <w:lang w:val="en-CA" w:eastAsia="en-CA"/>
        </w:rPr>
        <w:t xml:space="preserve"> </w:t>
      </w:r>
      <w:r w:rsidR="00CD5DC0" w:rsidRPr="002F1544">
        <w:rPr>
          <w:rFonts w:cs="Arial"/>
          <w:lang w:val="en-CA" w:eastAsia="en-CA"/>
        </w:rPr>
        <w:t>criminal behaviour (Andrews et al., 1990; Andrews et al</w:t>
      </w:r>
      <w:r w:rsidR="00F1127B" w:rsidRPr="002F1544">
        <w:rPr>
          <w:rFonts w:cs="Arial"/>
          <w:lang w:val="en-CA" w:eastAsia="en-CA"/>
        </w:rPr>
        <w:t>.</w:t>
      </w:r>
      <w:r w:rsidR="00900594">
        <w:rPr>
          <w:rFonts w:cs="Arial"/>
          <w:lang w:val="en-CA" w:eastAsia="en-CA"/>
        </w:rPr>
        <w:t>,</w:t>
      </w:r>
      <w:r w:rsidR="00CD5DC0" w:rsidRPr="002F1544">
        <w:rPr>
          <w:rFonts w:cs="Arial"/>
          <w:lang w:val="en-CA" w:eastAsia="en-CA"/>
        </w:rPr>
        <w:t xml:space="preserve"> 2006; Bonta </w:t>
      </w:r>
      <w:r w:rsidR="00EA4404">
        <w:rPr>
          <w:rFonts w:cs="Arial"/>
          <w:lang w:val="en-CA" w:eastAsia="en-CA"/>
        </w:rPr>
        <w:t>and</w:t>
      </w:r>
      <w:r w:rsidR="00CD5DC0" w:rsidRPr="002F1544">
        <w:rPr>
          <w:rFonts w:cs="Arial"/>
          <w:lang w:val="en-CA" w:eastAsia="en-CA"/>
        </w:rPr>
        <w:t xml:space="preserve"> Andrews, 2024). The Central Eight risk factors are summarized as:</w:t>
      </w:r>
    </w:p>
    <w:p w14:paraId="13B8B367" w14:textId="3DF2D81D" w:rsidR="00CD5DC0" w:rsidRPr="002F1544" w:rsidRDefault="00CD5DC0" w:rsidP="00CD5DC0">
      <w:pPr>
        <w:numPr>
          <w:ilvl w:val="0"/>
          <w:numId w:val="5"/>
        </w:numPr>
        <w:spacing w:after="200"/>
        <w:rPr>
          <w:rFonts w:cs="Arial"/>
          <w:lang w:val="en-CA" w:eastAsia="en-CA"/>
        </w:rPr>
      </w:pPr>
      <w:r w:rsidRPr="002F1544">
        <w:rPr>
          <w:rFonts w:cs="Arial"/>
          <w:b/>
          <w:bCs/>
          <w:lang w:val="en-CA" w:eastAsia="en-CA"/>
        </w:rPr>
        <w:t>Antisocial history</w:t>
      </w:r>
      <w:r w:rsidRPr="002F1544">
        <w:rPr>
          <w:rFonts w:cs="Arial"/>
          <w:lang w:val="en-CA" w:eastAsia="en-CA"/>
        </w:rPr>
        <w:t xml:space="preserve">: </w:t>
      </w:r>
      <w:r>
        <w:rPr>
          <w:rFonts w:cs="Arial"/>
          <w:lang w:val="en-CA" w:eastAsia="en-CA"/>
        </w:rPr>
        <w:t xml:space="preserve">early </w:t>
      </w:r>
      <w:r w:rsidRPr="002F1544">
        <w:rPr>
          <w:rFonts w:cs="Arial"/>
          <w:lang w:val="en-CA" w:eastAsia="en-CA"/>
        </w:rPr>
        <w:t xml:space="preserve">age at first offence, previous charges, incarcerations, </w:t>
      </w:r>
      <w:r w:rsidR="00681202">
        <w:rPr>
          <w:rFonts w:cs="Arial"/>
          <w:lang w:val="en-CA" w:eastAsia="en-CA"/>
        </w:rPr>
        <w:t>weak self-control, pleasure see</w:t>
      </w:r>
      <w:r w:rsidR="00E07696">
        <w:rPr>
          <w:rFonts w:cs="Arial"/>
          <w:lang w:val="en-CA" w:eastAsia="en-CA"/>
        </w:rPr>
        <w:t>k</w:t>
      </w:r>
      <w:r w:rsidR="00681202">
        <w:rPr>
          <w:rFonts w:cs="Arial"/>
          <w:lang w:val="en-CA" w:eastAsia="en-CA"/>
        </w:rPr>
        <w:t>ing</w:t>
      </w:r>
      <w:r w:rsidRPr="002F1544">
        <w:rPr>
          <w:rFonts w:cs="Arial"/>
          <w:lang w:val="en-CA" w:eastAsia="en-CA"/>
        </w:rPr>
        <w:t xml:space="preserve"> </w:t>
      </w:r>
    </w:p>
    <w:p w14:paraId="2FC72DF1" w14:textId="6B24E0AF" w:rsidR="00CD5DC0" w:rsidRPr="002F1544" w:rsidRDefault="00CD5DC0" w:rsidP="00CD5DC0">
      <w:pPr>
        <w:numPr>
          <w:ilvl w:val="0"/>
          <w:numId w:val="5"/>
        </w:numPr>
        <w:spacing w:after="200"/>
        <w:rPr>
          <w:rFonts w:cs="Arial"/>
          <w:lang w:val="en-CA" w:eastAsia="en-CA"/>
        </w:rPr>
      </w:pPr>
      <w:r w:rsidRPr="002F1544">
        <w:rPr>
          <w:rFonts w:cs="Arial"/>
          <w:b/>
          <w:bCs/>
          <w:lang w:val="en-CA" w:eastAsia="en-CA"/>
        </w:rPr>
        <w:t>Personality</w:t>
      </w:r>
      <w:r w:rsidRPr="002F1544">
        <w:rPr>
          <w:rFonts w:cs="Arial"/>
          <w:lang w:val="en-CA" w:eastAsia="en-CA"/>
        </w:rPr>
        <w:t xml:space="preserve">: </w:t>
      </w:r>
      <w:r w:rsidR="00FC14F1">
        <w:rPr>
          <w:rFonts w:cs="Arial"/>
          <w:lang w:val="en-CA" w:eastAsia="en-CA"/>
        </w:rPr>
        <w:t>a</w:t>
      </w:r>
      <w:r w:rsidRPr="002F1544">
        <w:rPr>
          <w:rFonts w:cs="Arial"/>
          <w:lang w:val="en-CA" w:eastAsia="en-CA"/>
        </w:rPr>
        <w:t>ggression, anger, impulsivity, and poor emotional regulation</w:t>
      </w:r>
    </w:p>
    <w:p w14:paraId="073A40E2" w14:textId="77777777" w:rsidR="00CD5DC0" w:rsidRPr="002F1544" w:rsidRDefault="00CD5DC0" w:rsidP="00CD5DC0">
      <w:pPr>
        <w:numPr>
          <w:ilvl w:val="0"/>
          <w:numId w:val="5"/>
        </w:numPr>
        <w:spacing w:after="200"/>
        <w:rPr>
          <w:rFonts w:cs="Arial"/>
          <w:lang w:val="en-CA" w:eastAsia="en-CA"/>
        </w:rPr>
      </w:pPr>
      <w:r w:rsidRPr="002F1544">
        <w:rPr>
          <w:rFonts w:cs="Arial"/>
          <w:b/>
          <w:bCs/>
          <w:lang w:val="en-CA" w:eastAsia="en-CA"/>
        </w:rPr>
        <w:t>Attitudes/Cognitions</w:t>
      </w:r>
      <w:r w:rsidRPr="002F1544">
        <w:rPr>
          <w:rFonts w:cs="Arial"/>
          <w:lang w:val="en-CA" w:eastAsia="en-CA"/>
        </w:rPr>
        <w:t>: attitudes supportive of crime; criminally-oriented thinking</w:t>
      </w:r>
    </w:p>
    <w:p w14:paraId="60D7D8C5" w14:textId="77777777" w:rsidR="00CD5DC0" w:rsidRPr="002F1544" w:rsidRDefault="00CD5DC0" w:rsidP="00CD5DC0">
      <w:pPr>
        <w:numPr>
          <w:ilvl w:val="0"/>
          <w:numId w:val="5"/>
        </w:numPr>
        <w:spacing w:after="200"/>
        <w:rPr>
          <w:rFonts w:cs="Arial"/>
          <w:lang w:val="en-CA" w:eastAsia="en-CA"/>
        </w:rPr>
      </w:pPr>
      <w:r w:rsidRPr="002F1544">
        <w:rPr>
          <w:rFonts w:cs="Arial"/>
          <w:b/>
          <w:bCs/>
          <w:lang w:val="en-CA" w:eastAsia="en-CA"/>
        </w:rPr>
        <w:t>Peers/Associates</w:t>
      </w:r>
      <w:r w:rsidRPr="002F1544">
        <w:rPr>
          <w:rFonts w:cs="Arial"/>
          <w:lang w:val="en-CA" w:eastAsia="en-CA"/>
        </w:rPr>
        <w:t xml:space="preserve">: close association with antisocial and/or criminal peers; social support for crime </w:t>
      </w:r>
    </w:p>
    <w:p w14:paraId="53A3E005" w14:textId="61C5F567" w:rsidR="00CD5DC0" w:rsidRPr="002F1544" w:rsidRDefault="00CD5DC0" w:rsidP="00CD5DC0">
      <w:pPr>
        <w:numPr>
          <w:ilvl w:val="0"/>
          <w:numId w:val="5"/>
        </w:numPr>
        <w:spacing w:after="200"/>
        <w:rPr>
          <w:rFonts w:cs="Arial"/>
          <w:lang w:val="en-CA" w:eastAsia="en-CA"/>
        </w:rPr>
      </w:pPr>
      <w:r w:rsidRPr="002F1544">
        <w:rPr>
          <w:rFonts w:cs="Arial"/>
          <w:b/>
          <w:bCs/>
          <w:lang w:val="en-CA" w:eastAsia="en-CA"/>
        </w:rPr>
        <w:t>Family</w:t>
      </w:r>
      <w:r w:rsidRPr="002F1544">
        <w:rPr>
          <w:rFonts w:cs="Arial"/>
          <w:lang w:val="en-CA" w:eastAsia="en-CA"/>
        </w:rPr>
        <w:t>: disruption in the home, inconsistent parental supervision, adverse childhood experiences (</w:t>
      </w:r>
      <w:r w:rsidR="007314DE">
        <w:rPr>
          <w:rFonts w:cs="Arial"/>
          <w:lang w:val="en-CA" w:eastAsia="en-CA"/>
        </w:rPr>
        <w:t>like</w:t>
      </w:r>
      <w:r w:rsidRPr="002F1544">
        <w:rPr>
          <w:rFonts w:cs="Arial"/>
          <w:lang w:val="en-CA" w:eastAsia="en-CA"/>
        </w:rPr>
        <w:t xml:space="preserve"> neglect and abuse)</w:t>
      </w:r>
    </w:p>
    <w:p w14:paraId="50D61394" w14:textId="77777777" w:rsidR="00CD5DC0" w:rsidRPr="002F1544" w:rsidRDefault="00CD5DC0" w:rsidP="00CD5DC0">
      <w:pPr>
        <w:numPr>
          <w:ilvl w:val="0"/>
          <w:numId w:val="5"/>
        </w:numPr>
        <w:spacing w:after="200"/>
        <w:rPr>
          <w:rFonts w:cs="Arial"/>
          <w:lang w:val="en-CA" w:eastAsia="en-CA"/>
        </w:rPr>
      </w:pPr>
      <w:r w:rsidRPr="002F1544">
        <w:rPr>
          <w:rFonts w:cs="Arial"/>
          <w:b/>
          <w:bCs/>
          <w:lang w:val="en-CA" w:eastAsia="en-CA"/>
        </w:rPr>
        <w:t>Education/Employment</w:t>
      </w:r>
      <w:r w:rsidRPr="002F1544">
        <w:rPr>
          <w:rFonts w:cs="Arial"/>
          <w:lang w:val="en-CA" w:eastAsia="en-CA"/>
        </w:rPr>
        <w:t>: low levels of performance and engagement in school and/or work</w:t>
      </w:r>
    </w:p>
    <w:p w14:paraId="3FBA06F5" w14:textId="0BA7A022" w:rsidR="00CD5DC0" w:rsidRPr="002F1544" w:rsidRDefault="00CD5DC0" w:rsidP="00CD5DC0">
      <w:pPr>
        <w:numPr>
          <w:ilvl w:val="0"/>
          <w:numId w:val="5"/>
        </w:numPr>
        <w:spacing w:after="200"/>
        <w:rPr>
          <w:rFonts w:cs="Arial"/>
          <w:lang w:val="en-CA" w:eastAsia="en-CA"/>
        </w:rPr>
      </w:pPr>
      <w:r w:rsidRPr="002F1544">
        <w:rPr>
          <w:rFonts w:cs="Arial"/>
          <w:b/>
          <w:bCs/>
          <w:lang w:val="en-CA" w:eastAsia="en-CA"/>
        </w:rPr>
        <w:t>Leisure/Recreation</w:t>
      </w:r>
      <w:r w:rsidRPr="002F1544">
        <w:rPr>
          <w:rFonts w:cs="Arial"/>
          <w:lang w:val="en-CA" w:eastAsia="en-CA"/>
        </w:rPr>
        <w:t xml:space="preserve">: inappropriate use of </w:t>
      </w:r>
      <w:r w:rsidR="00E07696">
        <w:rPr>
          <w:rFonts w:cs="Arial"/>
          <w:lang w:val="en-CA" w:eastAsia="en-CA"/>
        </w:rPr>
        <w:t>“</w:t>
      </w:r>
      <w:r w:rsidRPr="002F1544">
        <w:rPr>
          <w:rFonts w:cs="Arial"/>
          <w:lang w:val="en-CA" w:eastAsia="en-CA"/>
        </w:rPr>
        <w:t>free time</w:t>
      </w:r>
      <w:r w:rsidR="00E07696">
        <w:rPr>
          <w:rFonts w:cs="Arial"/>
          <w:lang w:val="en-CA" w:eastAsia="en-CA"/>
        </w:rPr>
        <w:t>”</w:t>
      </w:r>
      <w:r w:rsidRPr="002F1544">
        <w:rPr>
          <w:rFonts w:cs="Arial"/>
          <w:lang w:val="en-CA" w:eastAsia="en-CA"/>
        </w:rPr>
        <w:t xml:space="preserve"> (</w:t>
      </w:r>
      <w:r w:rsidR="007314DE">
        <w:rPr>
          <w:rFonts w:cs="Arial"/>
          <w:lang w:val="en-CA" w:eastAsia="en-CA"/>
        </w:rPr>
        <w:t>for example</w:t>
      </w:r>
      <w:r w:rsidRPr="002F1544">
        <w:rPr>
          <w:rFonts w:cs="Arial"/>
          <w:lang w:val="en-CA" w:eastAsia="en-CA"/>
        </w:rPr>
        <w:t xml:space="preserve">, lack of structured activities, lack of positive recreational activities or hobbies, using </w:t>
      </w:r>
      <w:r w:rsidR="00E07696">
        <w:rPr>
          <w:rFonts w:cs="Arial"/>
          <w:lang w:val="en-CA" w:eastAsia="en-CA"/>
        </w:rPr>
        <w:t>“</w:t>
      </w:r>
      <w:r w:rsidRPr="002F1544">
        <w:rPr>
          <w:rFonts w:cs="Arial"/>
          <w:lang w:val="en-CA" w:eastAsia="en-CA"/>
        </w:rPr>
        <w:t>free time</w:t>
      </w:r>
      <w:r w:rsidR="00E07696">
        <w:rPr>
          <w:rFonts w:cs="Arial"/>
          <w:lang w:val="en-CA" w:eastAsia="en-CA"/>
        </w:rPr>
        <w:t>”</w:t>
      </w:r>
      <w:r w:rsidRPr="002F1544">
        <w:rPr>
          <w:rFonts w:cs="Arial"/>
          <w:lang w:val="en-CA" w:eastAsia="en-CA"/>
        </w:rPr>
        <w:t xml:space="preserve"> to engage in delinquency and/or crime)</w:t>
      </w:r>
    </w:p>
    <w:p w14:paraId="5EA9B7F3" w14:textId="77777777" w:rsidR="00CD5DC0" w:rsidRPr="002F1544" w:rsidRDefault="00CD5DC0" w:rsidP="00CD5DC0">
      <w:pPr>
        <w:numPr>
          <w:ilvl w:val="0"/>
          <w:numId w:val="5"/>
        </w:numPr>
        <w:spacing w:after="320"/>
        <w:rPr>
          <w:rFonts w:cs="Arial"/>
          <w:lang w:val="en-CA" w:eastAsia="en-CA"/>
        </w:rPr>
      </w:pPr>
      <w:r w:rsidRPr="002F1544">
        <w:rPr>
          <w:rFonts w:cs="Arial"/>
          <w:b/>
          <w:bCs/>
          <w:lang w:val="en-CA" w:eastAsia="en-CA"/>
        </w:rPr>
        <w:t>Substance use</w:t>
      </w:r>
      <w:r w:rsidRPr="002F1544">
        <w:rPr>
          <w:rFonts w:cs="Arial"/>
          <w:lang w:val="en-CA" w:eastAsia="en-CA"/>
        </w:rPr>
        <w:t>: misuse of alcohol and/or other drugs</w:t>
      </w:r>
    </w:p>
    <w:p w14:paraId="1C956465" w14:textId="3F65F064" w:rsidR="00D660D6" w:rsidRDefault="00D660D6" w:rsidP="006C6F06">
      <w:pPr>
        <w:pStyle w:val="Alert-type-info"/>
        <w:rPr>
          <w:lang w:eastAsia="en-CA"/>
        </w:rPr>
      </w:pPr>
      <w:r w:rsidRPr="006C6F06">
        <w:rPr>
          <w:lang w:eastAsia="en-CA"/>
        </w:rPr>
        <w:t xml:space="preserve">Tyler’s story transitions </w:t>
      </w:r>
      <w:r w:rsidR="004B1B18">
        <w:rPr>
          <w:lang w:eastAsia="en-CA"/>
        </w:rPr>
        <w:t xml:space="preserve">methodologically </w:t>
      </w:r>
      <w:r w:rsidRPr="006C6F06">
        <w:rPr>
          <w:lang w:eastAsia="en-CA"/>
        </w:rPr>
        <w:t xml:space="preserve">from the ICAP theory </w:t>
      </w:r>
      <w:r w:rsidR="004B1B18">
        <w:rPr>
          <w:lang w:eastAsia="en-CA"/>
        </w:rPr>
        <w:t>in</w:t>
      </w:r>
      <w:r w:rsidR="006F7285">
        <w:rPr>
          <w:lang w:eastAsia="en-CA"/>
        </w:rPr>
        <w:t xml:space="preserve"> late</w:t>
      </w:r>
      <w:r w:rsidR="004B1B18">
        <w:rPr>
          <w:lang w:eastAsia="en-CA"/>
        </w:rPr>
        <w:t xml:space="preserve"> childhood </w:t>
      </w:r>
      <w:r w:rsidRPr="006C6F06">
        <w:rPr>
          <w:lang w:eastAsia="en-CA"/>
        </w:rPr>
        <w:t xml:space="preserve">to the Central Eight model when </w:t>
      </w:r>
      <w:r w:rsidR="004B1B18">
        <w:rPr>
          <w:lang w:eastAsia="en-CA"/>
        </w:rPr>
        <w:t>he</w:t>
      </w:r>
      <w:r w:rsidRPr="006C6F06">
        <w:rPr>
          <w:lang w:eastAsia="en-CA"/>
        </w:rPr>
        <w:t xml:space="preserve"> reaches his</w:t>
      </w:r>
      <w:r w:rsidR="00425955" w:rsidRPr="006C6F06">
        <w:rPr>
          <w:lang w:eastAsia="en-CA"/>
        </w:rPr>
        <w:t xml:space="preserve"> </w:t>
      </w:r>
      <w:r w:rsidRPr="006C6F06">
        <w:rPr>
          <w:lang w:eastAsia="en-CA"/>
        </w:rPr>
        <w:t xml:space="preserve">teen years, </w:t>
      </w:r>
      <w:r w:rsidR="004B1B18" w:rsidRPr="00D77726">
        <w:rPr>
          <w:lang w:val="en-US" w:eastAsia="en-CA"/>
        </w:rPr>
        <w:t xml:space="preserve">reflecting the evolution of at-risk </w:t>
      </w:r>
      <w:proofErr w:type="spellStart"/>
      <w:r w:rsidR="004B1B18" w:rsidRPr="00D77726">
        <w:rPr>
          <w:lang w:val="en-US" w:eastAsia="en-CA"/>
        </w:rPr>
        <w:t>behavio</w:t>
      </w:r>
      <w:r w:rsidR="008A270E">
        <w:rPr>
          <w:lang w:val="en-US" w:eastAsia="en-CA"/>
        </w:rPr>
        <w:t>u</w:t>
      </w:r>
      <w:r w:rsidR="004B1B18" w:rsidRPr="00D77726">
        <w:rPr>
          <w:lang w:val="en-US" w:eastAsia="en-CA"/>
        </w:rPr>
        <w:t>rs</w:t>
      </w:r>
      <w:proofErr w:type="spellEnd"/>
      <w:r w:rsidR="004B1B18" w:rsidRPr="00D77726">
        <w:rPr>
          <w:lang w:val="en-US" w:eastAsia="en-CA"/>
        </w:rPr>
        <w:t xml:space="preserve"> in early life t</w:t>
      </w:r>
      <w:r w:rsidR="004B1B18">
        <w:rPr>
          <w:lang w:val="en-US" w:eastAsia="en-CA"/>
        </w:rPr>
        <w:t>o</w:t>
      </w:r>
      <w:r w:rsidRPr="006C6F06">
        <w:rPr>
          <w:lang w:eastAsia="en-CA"/>
        </w:rPr>
        <w:t xml:space="preserve"> the onset of his criminal behaviours</w:t>
      </w:r>
      <w:r>
        <w:rPr>
          <w:lang w:eastAsia="en-CA"/>
        </w:rPr>
        <w:t>.</w:t>
      </w:r>
      <w:r w:rsidR="00425955">
        <w:rPr>
          <w:lang w:eastAsia="en-CA"/>
        </w:rPr>
        <w:t xml:space="preserve"> </w:t>
      </w:r>
      <w:r w:rsidR="00425955" w:rsidRPr="00425955">
        <w:rPr>
          <w:lang w:eastAsia="en-CA"/>
        </w:rPr>
        <w:t xml:space="preserve">Tyler's </w:t>
      </w:r>
      <w:r w:rsidR="00425955">
        <w:rPr>
          <w:lang w:eastAsia="en-CA"/>
        </w:rPr>
        <w:t>later adolescence and early adult years</w:t>
      </w:r>
      <w:r w:rsidR="00425955" w:rsidRPr="00425955">
        <w:rPr>
          <w:lang w:eastAsia="en-CA"/>
        </w:rPr>
        <w:t xml:space="preserve"> reveal several risk factors, including association with delinquent peers, substance use, lack of extracurricular activities, and frequent school absences. His involvement in petty crimes escalated to more serious offen</w:t>
      </w:r>
      <w:r w:rsidR="004534FB">
        <w:rPr>
          <w:lang w:eastAsia="en-CA"/>
        </w:rPr>
        <w:t>c</w:t>
      </w:r>
      <w:r w:rsidR="00425955" w:rsidRPr="00425955">
        <w:rPr>
          <w:lang w:eastAsia="en-CA"/>
        </w:rPr>
        <w:t xml:space="preserve">es, such as theft, assault, and drug trafficking. Tyler's exposure to more hardened </w:t>
      </w:r>
      <w:r w:rsidR="0077625D">
        <w:rPr>
          <w:lang w:eastAsia="en-CA"/>
        </w:rPr>
        <w:t>individuals</w:t>
      </w:r>
      <w:r w:rsidR="00425955" w:rsidRPr="00425955">
        <w:rPr>
          <w:lang w:eastAsia="en-CA"/>
        </w:rPr>
        <w:t xml:space="preserve"> during incarceration further entrenched his criminal behavio</w:t>
      </w:r>
      <w:r w:rsidR="004534FB">
        <w:rPr>
          <w:lang w:eastAsia="en-CA"/>
        </w:rPr>
        <w:t>u</w:t>
      </w:r>
      <w:r w:rsidR="00425955" w:rsidRPr="00425955">
        <w:rPr>
          <w:lang w:eastAsia="en-CA"/>
        </w:rPr>
        <w:t>r. The stigma of his criminal record and difficulty finding employment led to isolation and continued criminal activity. Additionally, his volatile relationships and domestic violence incidents contributed to his persistent involvement with the justice system. By the age of 30, Tyler had spent over a decade in custody, highlighting the cumulative impact of these risk factors on his life trajectory.</w:t>
      </w:r>
    </w:p>
    <w:p w14:paraId="74DACE86" w14:textId="47EFA40C" w:rsidR="00CD5DC0" w:rsidRPr="00067899" w:rsidRDefault="00D660D6" w:rsidP="006C56F5">
      <w:pPr>
        <w:spacing w:before="240"/>
        <w:rPr>
          <w:rFonts w:cs="Arial"/>
          <w:lang w:val="en-CA" w:eastAsia="en-CA"/>
        </w:rPr>
      </w:pPr>
      <w:r>
        <w:rPr>
          <w:rFonts w:cs="Arial"/>
          <w:lang w:val="en-CA" w:eastAsia="en-CA"/>
        </w:rPr>
        <w:t>Taken together</w:t>
      </w:r>
      <w:r w:rsidR="00537703">
        <w:rPr>
          <w:rFonts w:cs="Arial"/>
          <w:lang w:val="en-CA" w:eastAsia="en-CA"/>
        </w:rPr>
        <w:t xml:space="preserve">, </w:t>
      </w:r>
      <w:r>
        <w:rPr>
          <w:rFonts w:cs="Arial"/>
          <w:lang w:val="en-CA" w:eastAsia="en-CA"/>
        </w:rPr>
        <w:t xml:space="preserve">and as demonstrated in Tyler’s Story, </w:t>
      </w:r>
      <w:r w:rsidR="00F05E3F">
        <w:rPr>
          <w:rFonts w:cs="Arial"/>
          <w:lang w:val="en-CA" w:eastAsia="en-CA"/>
        </w:rPr>
        <w:t xml:space="preserve">the </w:t>
      </w:r>
      <w:r w:rsidR="006C494E">
        <w:rPr>
          <w:rFonts w:cs="Arial"/>
          <w:lang w:val="en-CA" w:eastAsia="en-CA"/>
        </w:rPr>
        <w:t xml:space="preserve">risk factors </w:t>
      </w:r>
      <w:r w:rsidR="00F05E3F">
        <w:rPr>
          <w:rFonts w:cs="Arial"/>
          <w:lang w:val="en-CA" w:eastAsia="en-CA"/>
        </w:rPr>
        <w:t>showcased</w:t>
      </w:r>
      <w:r w:rsidR="006C494E">
        <w:rPr>
          <w:rFonts w:cs="Arial"/>
          <w:lang w:val="en-CA" w:eastAsia="en-CA"/>
        </w:rPr>
        <w:t xml:space="preserve"> in Farrington’s ICAP theory and Bonta and Andrews “Central </w:t>
      </w:r>
      <w:r w:rsidR="003719EC">
        <w:rPr>
          <w:rFonts w:cs="Arial"/>
          <w:lang w:val="en-CA" w:eastAsia="en-CA"/>
        </w:rPr>
        <w:t>Eight</w:t>
      </w:r>
      <w:r w:rsidR="006C494E">
        <w:rPr>
          <w:rFonts w:cs="Arial"/>
          <w:lang w:val="en-CA" w:eastAsia="en-CA"/>
        </w:rPr>
        <w:t>”</w:t>
      </w:r>
      <w:r w:rsidR="00764155">
        <w:rPr>
          <w:rFonts w:cs="Arial"/>
          <w:lang w:val="en-CA" w:eastAsia="en-CA"/>
        </w:rPr>
        <w:t xml:space="preserve"> theory</w:t>
      </w:r>
      <w:r w:rsidR="00681202">
        <w:rPr>
          <w:rFonts w:cs="Arial"/>
          <w:lang w:val="en-CA" w:eastAsia="en-CA"/>
        </w:rPr>
        <w:t>,</w:t>
      </w:r>
      <w:r w:rsidR="00537703">
        <w:rPr>
          <w:rFonts w:cs="Arial"/>
          <w:lang w:val="en-CA" w:eastAsia="en-CA"/>
        </w:rPr>
        <w:t xml:space="preserve"> </w:t>
      </w:r>
      <w:r w:rsidR="006C494E">
        <w:rPr>
          <w:rFonts w:cs="Arial"/>
          <w:lang w:val="en-CA" w:eastAsia="en-CA"/>
        </w:rPr>
        <w:t>show</w:t>
      </w:r>
      <w:r w:rsidR="00537703">
        <w:rPr>
          <w:rFonts w:cs="Arial"/>
          <w:lang w:val="en-CA" w:eastAsia="en-CA"/>
        </w:rPr>
        <w:t xml:space="preserve"> considerable overlap</w:t>
      </w:r>
      <w:r>
        <w:rPr>
          <w:rFonts w:cs="Arial"/>
          <w:lang w:val="en-CA" w:eastAsia="en-CA"/>
        </w:rPr>
        <w:t xml:space="preserve">. They </w:t>
      </w:r>
      <w:r w:rsidR="00537703">
        <w:rPr>
          <w:rFonts w:cs="Arial"/>
          <w:lang w:val="en-CA" w:eastAsia="en-CA"/>
        </w:rPr>
        <w:t xml:space="preserve">can be used together </w:t>
      </w:r>
      <w:r w:rsidR="00202EE2">
        <w:rPr>
          <w:rFonts w:cs="Arial"/>
          <w:lang w:val="en-CA" w:eastAsia="en-CA"/>
        </w:rPr>
        <w:t>to offer a</w:t>
      </w:r>
      <w:r w:rsidR="00537703">
        <w:rPr>
          <w:rFonts w:cs="Arial"/>
          <w:lang w:val="en-CA" w:eastAsia="en-CA"/>
        </w:rPr>
        <w:t xml:space="preserve"> holistic representation of risk. While not exhaustive, the inter-related</w:t>
      </w:r>
      <w:r w:rsidR="00F05E3F">
        <w:rPr>
          <w:rFonts w:cs="Arial"/>
          <w:lang w:val="en-CA" w:eastAsia="en-CA"/>
        </w:rPr>
        <w:t>ness of these</w:t>
      </w:r>
      <w:r w:rsidR="00537703">
        <w:rPr>
          <w:rFonts w:cs="Arial"/>
          <w:lang w:val="en-CA" w:eastAsia="en-CA"/>
        </w:rPr>
        <w:t xml:space="preserve"> risk factors</w:t>
      </w:r>
      <w:r w:rsidR="00F05E3F">
        <w:rPr>
          <w:rFonts w:cs="Arial"/>
          <w:lang w:val="en-CA" w:eastAsia="en-CA"/>
        </w:rPr>
        <w:t xml:space="preserve"> demonstrate</w:t>
      </w:r>
      <w:r w:rsidR="00641C9C">
        <w:rPr>
          <w:rFonts w:cs="Arial"/>
          <w:lang w:val="en-CA" w:eastAsia="en-CA"/>
        </w:rPr>
        <w:t xml:space="preserve"> </w:t>
      </w:r>
      <w:r w:rsidR="00F05E3F">
        <w:rPr>
          <w:rFonts w:cs="Arial"/>
          <w:lang w:val="en-CA" w:eastAsia="en-CA"/>
        </w:rPr>
        <w:t>“why” and “how” Tyler’s</w:t>
      </w:r>
      <w:r>
        <w:rPr>
          <w:rFonts w:cs="Arial"/>
          <w:lang w:val="en-CA" w:eastAsia="en-CA"/>
        </w:rPr>
        <w:t xml:space="preserve"> life trajectory </w:t>
      </w:r>
      <w:r w:rsidR="00F05E3F">
        <w:rPr>
          <w:rFonts w:cs="Arial"/>
          <w:lang w:val="en-CA" w:eastAsia="en-CA"/>
        </w:rPr>
        <w:t>resul</w:t>
      </w:r>
      <w:r>
        <w:rPr>
          <w:rFonts w:cs="Arial"/>
          <w:lang w:val="en-CA" w:eastAsia="en-CA"/>
        </w:rPr>
        <w:t>ted</w:t>
      </w:r>
      <w:r w:rsidR="00F05E3F">
        <w:rPr>
          <w:rFonts w:cs="Arial"/>
          <w:lang w:val="en-CA" w:eastAsia="en-CA"/>
        </w:rPr>
        <w:t xml:space="preserve"> in a criminal </w:t>
      </w:r>
      <w:r>
        <w:rPr>
          <w:rFonts w:cs="Arial"/>
          <w:lang w:val="en-CA" w:eastAsia="en-CA"/>
        </w:rPr>
        <w:t>justice-involvement</w:t>
      </w:r>
      <w:r w:rsidR="00F05E3F">
        <w:rPr>
          <w:rFonts w:cs="Arial"/>
          <w:lang w:val="en-CA" w:eastAsia="en-CA"/>
        </w:rPr>
        <w:t xml:space="preserve">, and </w:t>
      </w:r>
      <w:r>
        <w:rPr>
          <w:rFonts w:cs="Arial"/>
          <w:lang w:val="en-CA" w:eastAsia="en-CA"/>
        </w:rPr>
        <w:t>identif</w:t>
      </w:r>
      <w:r w:rsidR="006F7285">
        <w:rPr>
          <w:rFonts w:cs="Arial"/>
          <w:lang w:val="en-CA" w:eastAsia="en-CA"/>
        </w:rPr>
        <w:t>y</w:t>
      </w:r>
      <w:r w:rsidR="00F05E3F">
        <w:rPr>
          <w:rFonts w:cs="Arial"/>
          <w:lang w:val="en-CA" w:eastAsia="en-CA"/>
        </w:rPr>
        <w:t xml:space="preserve"> </w:t>
      </w:r>
      <w:r w:rsidR="00E25B5C">
        <w:rPr>
          <w:rFonts w:cs="Arial"/>
          <w:lang w:val="en-CA" w:eastAsia="en-CA"/>
        </w:rPr>
        <w:t xml:space="preserve">a number of </w:t>
      </w:r>
      <w:r>
        <w:rPr>
          <w:rFonts w:cs="Arial"/>
          <w:lang w:val="en-CA" w:eastAsia="en-CA"/>
        </w:rPr>
        <w:t xml:space="preserve">risk </w:t>
      </w:r>
      <w:r w:rsidR="00E25B5C">
        <w:rPr>
          <w:rFonts w:cs="Arial"/>
          <w:lang w:val="en-CA" w:eastAsia="en-CA"/>
        </w:rPr>
        <w:t xml:space="preserve">factors </w:t>
      </w:r>
      <w:r>
        <w:rPr>
          <w:rFonts w:cs="Arial"/>
          <w:lang w:val="en-CA" w:eastAsia="en-CA"/>
        </w:rPr>
        <w:t>that</w:t>
      </w:r>
      <w:r w:rsidR="00E25B5C">
        <w:rPr>
          <w:rFonts w:cs="Arial"/>
          <w:lang w:val="en-CA" w:eastAsia="en-CA"/>
        </w:rPr>
        <w:t xml:space="preserve"> can be targeted through crime prevention </w:t>
      </w:r>
      <w:r w:rsidR="00980AED">
        <w:rPr>
          <w:rFonts w:cs="Arial"/>
          <w:lang w:val="en-CA" w:eastAsia="en-CA"/>
        </w:rPr>
        <w:t xml:space="preserve">reduction </w:t>
      </w:r>
      <w:r w:rsidR="00E25B5C">
        <w:rPr>
          <w:rFonts w:cs="Arial"/>
          <w:lang w:val="en-CA" w:eastAsia="en-CA"/>
        </w:rPr>
        <w:t>programs.</w:t>
      </w:r>
      <w:r w:rsidR="00790E9D">
        <w:rPr>
          <w:rFonts w:cs="Arial"/>
          <w:lang w:val="en-CA" w:eastAsia="en-CA"/>
        </w:rPr>
        <w:t xml:space="preserve"> </w:t>
      </w:r>
    </w:p>
    <w:p w14:paraId="0931E32B" w14:textId="77777777" w:rsidR="00CD5DC0" w:rsidRPr="002F1544" w:rsidRDefault="00CD5DC0" w:rsidP="00CD5DC0">
      <w:pPr>
        <w:pStyle w:val="Heading4"/>
        <w:rPr>
          <w:lang w:val="en-CA" w:eastAsia="en-CA"/>
        </w:rPr>
      </w:pPr>
      <w:r>
        <w:rPr>
          <w:lang w:val="en-CA" w:eastAsia="en-CA"/>
        </w:rPr>
        <w:t>Strengths and protective factors</w:t>
      </w:r>
    </w:p>
    <w:p w14:paraId="59E49F18" w14:textId="15DB832B" w:rsidR="00CD5DC0" w:rsidRPr="002F1544" w:rsidRDefault="00CD5DC0" w:rsidP="00CD5DC0">
      <w:pPr>
        <w:rPr>
          <w:rFonts w:cs="Arial"/>
          <w:lang w:val="en-CA" w:eastAsia="en-CA"/>
        </w:rPr>
      </w:pPr>
      <w:r w:rsidRPr="00660496">
        <w:rPr>
          <w:rFonts w:cs="Arial"/>
          <w:lang w:val="en-CA" w:eastAsia="en-CA"/>
        </w:rPr>
        <w:t>Strengths</w:t>
      </w:r>
      <w:r w:rsidRPr="00D73121">
        <w:rPr>
          <w:rFonts w:cs="Arial"/>
          <w:lang w:val="en-CA" w:eastAsia="en-CA"/>
        </w:rPr>
        <w:t xml:space="preserve"> is a general term referring to positive aspects of a person’s life. </w:t>
      </w:r>
      <w:r w:rsidRPr="00660496">
        <w:rPr>
          <w:rFonts w:cs="Arial"/>
          <w:lang w:val="en-CA" w:eastAsia="en-CA"/>
        </w:rPr>
        <w:t>Protective factors</w:t>
      </w:r>
      <w:r w:rsidRPr="002F1544">
        <w:rPr>
          <w:rFonts w:cs="Arial"/>
          <w:lang w:val="en-CA" w:eastAsia="en-CA"/>
        </w:rPr>
        <w:t xml:space="preserve">, in turn, are specific strengths that can reduce the likelihood </w:t>
      </w:r>
      <w:r>
        <w:rPr>
          <w:rFonts w:cs="Arial"/>
          <w:lang w:val="en-CA" w:eastAsia="en-CA"/>
        </w:rPr>
        <w:t xml:space="preserve">of </w:t>
      </w:r>
      <w:r w:rsidRPr="002F1544">
        <w:rPr>
          <w:rFonts w:cs="Arial"/>
          <w:lang w:val="en-CA" w:eastAsia="en-CA"/>
        </w:rPr>
        <w:t>criminal behaviour (or continued criminal behaviour) by counterbalancing and reducing a person’s overall level of risk (Jones et al., 2016). Examples can be internal (</w:t>
      </w:r>
      <w:r w:rsidR="007314DE">
        <w:rPr>
          <w:rFonts w:cs="Arial"/>
          <w:lang w:val="en-CA" w:eastAsia="en-CA"/>
        </w:rPr>
        <w:t>like</w:t>
      </w:r>
      <w:r w:rsidRPr="002F1544">
        <w:rPr>
          <w:rFonts w:cs="Arial"/>
          <w:lang w:val="en-CA" w:eastAsia="en-CA"/>
        </w:rPr>
        <w:t xml:space="preserve"> positive coping skills) or external (</w:t>
      </w:r>
      <w:r w:rsidR="007314DE">
        <w:rPr>
          <w:rFonts w:cs="Arial"/>
          <w:lang w:val="en-CA" w:eastAsia="en-CA"/>
        </w:rPr>
        <w:t>such as</w:t>
      </w:r>
      <w:r w:rsidRPr="002F1544">
        <w:rPr>
          <w:rFonts w:cs="Arial"/>
          <w:lang w:val="en-CA" w:eastAsia="en-CA"/>
        </w:rPr>
        <w:t xml:space="preserve"> having a strong and prosocial support network). </w:t>
      </w:r>
    </w:p>
    <w:p w14:paraId="32B83795" w14:textId="220CF738" w:rsidR="00CD5DC0" w:rsidRPr="003C5236" w:rsidRDefault="00CD5DC0" w:rsidP="00CD5DC0">
      <w:pPr>
        <w:rPr>
          <w:rFonts w:cs="Arial"/>
          <w:lang w:val="en-CA" w:eastAsia="en-CA"/>
        </w:rPr>
      </w:pPr>
      <w:r w:rsidRPr="002F1544">
        <w:rPr>
          <w:rFonts w:cs="Arial"/>
          <w:lang w:val="en-CA" w:eastAsia="en-CA"/>
        </w:rPr>
        <w:t xml:space="preserve">This report acknowledges the critical importance of protective factors in understanding and reducing the risk of criminal behaviour among youth. If a youth has a large collection of risk factors but many protective factors, that youth’s risk of negative outcomes is reduced. </w:t>
      </w:r>
      <w:r w:rsidR="00D660D6">
        <w:rPr>
          <w:rFonts w:cs="Arial"/>
          <w:lang w:val="en-CA" w:eastAsia="en-CA"/>
        </w:rPr>
        <w:t>T</w:t>
      </w:r>
      <w:r w:rsidRPr="002F1544">
        <w:rPr>
          <w:rFonts w:cs="Arial"/>
          <w:lang w:val="en-CA" w:eastAsia="en-CA"/>
        </w:rPr>
        <w:t xml:space="preserve">his report does not identify the protective factors in Tyler’s life because the primary focus of Tyler’s Story is to illustrate </w:t>
      </w:r>
      <w:r w:rsidR="006F7285">
        <w:rPr>
          <w:rFonts w:cs="Arial"/>
          <w:lang w:val="en-CA" w:eastAsia="en-CA"/>
        </w:rPr>
        <w:t>the overwhelming burden of ma</w:t>
      </w:r>
      <w:r w:rsidR="00106736">
        <w:rPr>
          <w:rFonts w:cs="Arial"/>
          <w:lang w:val="en-CA" w:eastAsia="en-CA"/>
        </w:rPr>
        <w:t>n</w:t>
      </w:r>
      <w:r w:rsidR="006F7285">
        <w:rPr>
          <w:rFonts w:cs="Arial"/>
          <w:lang w:val="en-CA" w:eastAsia="en-CA"/>
        </w:rPr>
        <w:t>y risk factors</w:t>
      </w:r>
      <w:r w:rsidRPr="002F1544">
        <w:rPr>
          <w:rFonts w:cs="Arial"/>
          <w:lang w:val="en-CA" w:eastAsia="en-CA"/>
        </w:rPr>
        <w:t xml:space="preserve"> and the associated costs. As such, the focus is on risk factors by design.</w:t>
      </w:r>
      <w:r w:rsidRPr="003C5236" w:rsidDel="006F3428">
        <w:rPr>
          <w:rFonts w:cs="Arial"/>
          <w:highlight w:val="yellow"/>
          <w:lang w:val="en-CA" w:eastAsia="en-CA"/>
        </w:rPr>
        <w:t xml:space="preserve"> </w:t>
      </w:r>
    </w:p>
    <w:p w14:paraId="60391D21" w14:textId="77777777" w:rsidR="00CD5DC0" w:rsidRDefault="00CD5DC0" w:rsidP="00CD5DC0">
      <w:pPr>
        <w:pStyle w:val="Heading3"/>
      </w:pPr>
      <w:bookmarkStart w:id="14" w:name="_Toc189579949"/>
      <w:bookmarkStart w:id="15" w:name="_Toc201674481"/>
      <w:bookmarkStart w:id="16" w:name="_Toc175235430"/>
      <w:r>
        <w:t>Costing calculus</w:t>
      </w:r>
      <w:bookmarkEnd w:id="14"/>
      <w:bookmarkEnd w:id="15"/>
    </w:p>
    <w:p w14:paraId="0A1F5834" w14:textId="77777777" w:rsidR="00CD5DC0" w:rsidRPr="006F3428" w:rsidRDefault="00CD5DC0" w:rsidP="00CD5DC0">
      <w:r>
        <w:t>Tyler’s experiences are used to highlight the most common risk factors that affect Canadian youth who become involved in crime. His story also provides a picture of the potential costs associated with these experiences, ranging from the cost of an emergency room visit to the cost of a federal prison sentence.</w:t>
      </w:r>
    </w:p>
    <w:p w14:paraId="6F8774DD" w14:textId="77777777" w:rsidR="00CD5DC0" w:rsidRDefault="00CD5DC0" w:rsidP="00CD5DC0">
      <w:pPr>
        <w:pStyle w:val="Heading4"/>
      </w:pPr>
      <w:r>
        <w:t xml:space="preserve">Costing rationale </w:t>
      </w:r>
    </w:p>
    <w:p w14:paraId="3A9B4868" w14:textId="03277689" w:rsidR="00CD5DC0" w:rsidRDefault="00CD5DC0" w:rsidP="00CD5DC0">
      <w:pPr>
        <w:rPr>
          <w:lang w:val="en-CA"/>
        </w:rPr>
      </w:pPr>
      <w:r w:rsidRPr="00E64802">
        <w:rPr>
          <w:lang w:val="en-CA"/>
        </w:rPr>
        <w:t xml:space="preserve">Tyler represents a justice-involved youth in Canada. </w:t>
      </w:r>
      <w:r w:rsidR="00D660D6">
        <w:rPr>
          <w:lang w:val="en-CA"/>
        </w:rPr>
        <w:t>The report</w:t>
      </w:r>
      <w:r w:rsidRPr="00E64802">
        <w:rPr>
          <w:lang w:val="en-CA"/>
        </w:rPr>
        <w:t xml:space="preserve"> reflects </w:t>
      </w:r>
      <w:r w:rsidR="00D660D6">
        <w:rPr>
          <w:lang w:val="en-CA"/>
        </w:rPr>
        <w:t>one of many</w:t>
      </w:r>
      <w:r w:rsidR="00D660D6" w:rsidRPr="00E64802">
        <w:rPr>
          <w:lang w:val="en-CA"/>
        </w:rPr>
        <w:t xml:space="preserve"> </w:t>
      </w:r>
      <w:r w:rsidRPr="00E64802">
        <w:rPr>
          <w:lang w:val="en-CA"/>
        </w:rPr>
        <w:t>possible outcome</w:t>
      </w:r>
      <w:r w:rsidR="00D660D6">
        <w:rPr>
          <w:lang w:val="en-CA"/>
        </w:rPr>
        <w:t>s</w:t>
      </w:r>
      <w:r w:rsidRPr="00E64802">
        <w:rPr>
          <w:lang w:val="en-CA"/>
        </w:rPr>
        <w:t xml:space="preserve"> commonly </w:t>
      </w:r>
      <w:r w:rsidR="00D660D6">
        <w:rPr>
          <w:lang w:val="en-CA"/>
        </w:rPr>
        <w:t>experienced by</w:t>
      </w:r>
      <w:r w:rsidRPr="00E64802">
        <w:rPr>
          <w:lang w:val="en-CA"/>
        </w:rPr>
        <w:t xml:space="preserve"> justice-involved youth</w:t>
      </w:r>
      <w:r w:rsidR="00D660D6">
        <w:rPr>
          <w:lang w:val="en-CA"/>
        </w:rPr>
        <w:t>. It also highlights t</w:t>
      </w:r>
      <w:r w:rsidRPr="00E64802">
        <w:rPr>
          <w:lang w:val="en-CA"/>
        </w:rPr>
        <w:t xml:space="preserve">he costs associated with </w:t>
      </w:r>
      <w:r w:rsidR="00D660D6">
        <w:rPr>
          <w:lang w:val="en-CA"/>
        </w:rPr>
        <w:t>Tyler’s</w:t>
      </w:r>
      <w:r w:rsidR="00D660D6" w:rsidRPr="00E64802">
        <w:rPr>
          <w:lang w:val="en-CA"/>
        </w:rPr>
        <w:t xml:space="preserve"> </w:t>
      </w:r>
      <w:r w:rsidRPr="00E64802">
        <w:rPr>
          <w:lang w:val="en-CA"/>
        </w:rPr>
        <w:t xml:space="preserve">experiences </w:t>
      </w:r>
      <w:r w:rsidR="00D660D6">
        <w:rPr>
          <w:lang w:val="en-CA"/>
        </w:rPr>
        <w:t xml:space="preserve">to </w:t>
      </w:r>
      <w:r w:rsidRPr="00E64802">
        <w:rPr>
          <w:lang w:val="en-CA"/>
        </w:rPr>
        <w:t xml:space="preserve">support a better understanding of the economic impacts of crime </w:t>
      </w:r>
      <w:r w:rsidR="00D660D6">
        <w:rPr>
          <w:lang w:val="en-CA"/>
        </w:rPr>
        <w:t xml:space="preserve">on the Canadian socioeconomic system, </w:t>
      </w:r>
      <w:r w:rsidRPr="00E64802">
        <w:rPr>
          <w:lang w:val="en-CA"/>
        </w:rPr>
        <w:t xml:space="preserve">and potential cost saving opportunities. </w:t>
      </w:r>
    </w:p>
    <w:p w14:paraId="7F938F25" w14:textId="77777777" w:rsidR="0007206C" w:rsidRDefault="00D73121" w:rsidP="00D73121">
      <w:pPr>
        <w:rPr>
          <w:lang w:val="en-CA"/>
        </w:rPr>
      </w:pPr>
      <w:r w:rsidRPr="00E64802">
        <w:rPr>
          <w:lang w:val="en-CA"/>
        </w:rPr>
        <w:t>Understanding the economic impacts of crime allows researchers to evaluate the cost-benefit ratios of crime prevention programs</w:t>
      </w:r>
      <w:r>
        <w:rPr>
          <w:lang w:val="en-CA"/>
        </w:rPr>
        <w:t>.</w:t>
      </w:r>
      <w:r w:rsidRPr="00E64802">
        <w:rPr>
          <w:lang w:val="en-CA"/>
        </w:rPr>
        <w:t xml:space="preserve"> </w:t>
      </w:r>
      <w:r>
        <w:rPr>
          <w:lang w:val="en-CA"/>
        </w:rPr>
        <w:t>I</w:t>
      </w:r>
      <w:r w:rsidRPr="00E64802">
        <w:rPr>
          <w:lang w:val="en-CA"/>
        </w:rPr>
        <w:t xml:space="preserve">t also supports policymakers in making informed decisions about resource allocation. </w:t>
      </w:r>
    </w:p>
    <w:p w14:paraId="61467A6B" w14:textId="3BEFF4EA" w:rsidR="00D73121" w:rsidRDefault="00D73121" w:rsidP="00D73121">
      <w:pPr>
        <w:rPr>
          <w:lang w:val="en-CA"/>
        </w:rPr>
      </w:pPr>
      <w:r w:rsidRPr="00E64802">
        <w:rPr>
          <w:lang w:val="en-CA"/>
        </w:rPr>
        <w:t xml:space="preserve">Putting a dollar figure on the costs of crime provides a metric to compare the financial burden of criminal involvement to the investment in crime prevention programming. </w:t>
      </w:r>
    </w:p>
    <w:p w14:paraId="72359D03" w14:textId="77777777" w:rsidR="00CD5DC0" w:rsidRPr="00E64802" w:rsidRDefault="00CD5DC0" w:rsidP="00CD5DC0">
      <w:pPr>
        <w:rPr>
          <w:lang w:val="en-CA"/>
        </w:rPr>
      </w:pPr>
      <w:r w:rsidRPr="00E64802">
        <w:rPr>
          <w:lang w:val="en-CA"/>
        </w:rPr>
        <w:t xml:space="preserve">The cost estimates considered in Tyler’s story included only the tangible (direct) costs of crime, including criminal justice, health care, and social services costs. The intangible (indirect) costs due to pain and suffering, decreased quality of life, and psychological distress were </w:t>
      </w:r>
      <w:r w:rsidRPr="00E64802">
        <w:rPr>
          <w:b/>
          <w:bCs/>
          <w:lang w:val="en-CA"/>
        </w:rPr>
        <w:t>not</w:t>
      </w:r>
      <w:r w:rsidRPr="00E64802">
        <w:rPr>
          <w:lang w:val="en-CA"/>
        </w:rPr>
        <w:t xml:space="preserve"> included in the estimates due to a lack of available data. All figures were, at best, an underestimation of the true costs of crime to government and society.</w:t>
      </w:r>
    </w:p>
    <w:p w14:paraId="0DD57720" w14:textId="77777777" w:rsidR="00CD5DC0" w:rsidRPr="00E64802" w:rsidRDefault="00CD5DC0" w:rsidP="00CD5DC0">
      <w:pPr>
        <w:rPr>
          <w:lang w:val="en-CA"/>
        </w:rPr>
      </w:pPr>
      <w:r w:rsidRPr="00E64802">
        <w:rPr>
          <w:lang w:val="en-CA"/>
        </w:rPr>
        <w:t>The tangible costs associated with Tyler’s story were:</w:t>
      </w:r>
    </w:p>
    <w:p w14:paraId="5147C3FE" w14:textId="25562178" w:rsidR="00CD5DC0" w:rsidRPr="00E64802" w:rsidRDefault="00CD5DC0" w:rsidP="00CD5DC0">
      <w:pPr>
        <w:numPr>
          <w:ilvl w:val="0"/>
          <w:numId w:val="4"/>
        </w:numPr>
        <w:spacing w:after="320"/>
      </w:pPr>
      <w:r w:rsidRPr="00E64802">
        <w:rPr>
          <w:b/>
          <w:bCs/>
        </w:rPr>
        <w:t>Criminal justice system costs</w:t>
      </w:r>
      <w:r w:rsidRPr="00E64802">
        <w:t>:</w:t>
      </w:r>
      <w:r w:rsidRPr="00E64802">
        <w:rPr>
          <w:lang w:val="en-CA"/>
        </w:rPr>
        <w:t xml:space="preserve"> </w:t>
      </w:r>
      <w:r w:rsidRPr="00E64802">
        <w:t xml:space="preserve">costs of delivering police services, court services, prosecution services, legal aid and correctional services, and </w:t>
      </w:r>
      <w:r w:rsidRPr="00E64802">
        <w:rPr>
          <w:i/>
          <w:iCs/>
        </w:rPr>
        <w:t>Criminal Code</w:t>
      </w:r>
      <w:r w:rsidRPr="00E64802">
        <w:t xml:space="preserve"> Review Boards</w:t>
      </w:r>
      <w:r w:rsidR="00D660D6">
        <w:t>.</w:t>
      </w:r>
      <w:r w:rsidRPr="00E64802">
        <w:rPr>
          <w:vertAlign w:val="superscript"/>
        </w:rPr>
        <w:footnoteReference w:id="4"/>
      </w:r>
    </w:p>
    <w:p w14:paraId="4936B80C" w14:textId="77777777" w:rsidR="00CD5DC0" w:rsidRPr="00E64802" w:rsidRDefault="00CD5DC0" w:rsidP="00CD5DC0">
      <w:pPr>
        <w:numPr>
          <w:ilvl w:val="0"/>
          <w:numId w:val="4"/>
        </w:numPr>
        <w:spacing w:after="320"/>
      </w:pPr>
      <w:r w:rsidRPr="00E64802">
        <w:rPr>
          <w:b/>
          <w:bCs/>
        </w:rPr>
        <w:t>Social services and medical costs</w:t>
      </w:r>
      <w:r w:rsidRPr="00E64802">
        <w:t>: operating costs of social services, foster care, special education, psychological services, and medical costs.</w:t>
      </w:r>
    </w:p>
    <w:p w14:paraId="44BF88E0" w14:textId="1D07755E" w:rsidR="00CD5DC0" w:rsidRDefault="00CD5DC0" w:rsidP="00CD5DC0">
      <w:r w:rsidRPr="00E64802">
        <w:rPr>
          <w:lang w:val="en-CA"/>
        </w:rPr>
        <w:t xml:space="preserve">In addition, this report also calculated the participant cost for three interventions to illustrate potential cost savings by investing in crime prevention programs at critical points </w:t>
      </w:r>
      <w:r w:rsidR="00D660D6">
        <w:rPr>
          <w:lang w:val="en-CA"/>
        </w:rPr>
        <w:t>in</w:t>
      </w:r>
      <w:r w:rsidR="00D660D6" w:rsidRPr="00E64802">
        <w:rPr>
          <w:lang w:val="en-CA"/>
        </w:rPr>
        <w:t xml:space="preserve"> </w:t>
      </w:r>
      <w:r w:rsidRPr="00E64802">
        <w:rPr>
          <w:lang w:val="en-CA"/>
        </w:rPr>
        <w:t xml:space="preserve">Tyler’s </w:t>
      </w:r>
      <w:r w:rsidR="00D660D6">
        <w:rPr>
          <w:lang w:val="en-CA"/>
        </w:rPr>
        <w:t>life</w:t>
      </w:r>
      <w:r w:rsidRPr="00E64802">
        <w:rPr>
          <w:lang w:val="en-CA"/>
        </w:rPr>
        <w:t>.</w:t>
      </w:r>
      <w:r w:rsidRPr="00E64802">
        <w:t xml:space="preserve"> These interventions </w:t>
      </w:r>
      <w:r w:rsidR="002B6D2A" w:rsidRPr="00E64802">
        <w:t>include</w:t>
      </w:r>
      <w:r w:rsidR="007314DE">
        <w:t xml:space="preserve"> </w:t>
      </w:r>
      <w:r w:rsidRPr="00E64802">
        <w:t xml:space="preserve">Stop Now </w:t>
      </w:r>
      <w:r w:rsidR="007314DE">
        <w:t>A</w:t>
      </w:r>
      <w:r w:rsidRPr="00E64802">
        <w:t>nd Plan (SNAP®)</w:t>
      </w:r>
      <w:r w:rsidR="002B6D2A">
        <w:t>,</w:t>
      </w:r>
      <w:r w:rsidRPr="00E64802">
        <w:t xml:space="preserve"> the Youth Inclusion Program (YIP)</w:t>
      </w:r>
      <w:r w:rsidR="00EA4404">
        <w:t>,</w:t>
      </w:r>
      <w:r w:rsidRPr="00E64802">
        <w:t xml:space="preserve"> and </w:t>
      </w:r>
      <w:r w:rsidR="00382979">
        <w:t>M</w:t>
      </w:r>
      <w:r w:rsidRPr="00E64802">
        <w:t>ultisystemic therapy (MST).</w:t>
      </w:r>
    </w:p>
    <w:p w14:paraId="73112F09" w14:textId="5185BC41" w:rsidR="006F7285" w:rsidRPr="00E64802" w:rsidRDefault="006F7285" w:rsidP="00C845E2">
      <w:pPr>
        <w:pStyle w:val="Heading5"/>
        <w:rPr>
          <w:lang w:val="en-CA"/>
        </w:rPr>
      </w:pPr>
      <w:r>
        <w:rPr>
          <w:lang w:val="en-CA"/>
        </w:rPr>
        <w:t>Costing method</w:t>
      </w:r>
    </w:p>
    <w:p w14:paraId="02F2C0A3" w14:textId="76A01092" w:rsidR="00CD5DC0" w:rsidRDefault="00CD5DC0" w:rsidP="00CD5DC0">
      <w:r w:rsidRPr="00E64802">
        <w:t>A search of the Crime Prevention Inventory (CPI) – a database of programs funded under the National Crime Prevention Strategy</w:t>
      </w:r>
      <w:r w:rsidR="00D660D6">
        <w:t xml:space="preserve"> (NCPS)</w:t>
      </w:r>
      <w:r w:rsidRPr="00E64802">
        <w:t xml:space="preserve"> – was conducted to identify funded programs that had been </w:t>
      </w:r>
      <w:r w:rsidR="002B6D2A" w:rsidRPr="00E64802">
        <w:t>evaluated,</w:t>
      </w:r>
      <w:r w:rsidRPr="00E64802">
        <w:t xml:space="preserve"> and which included a cost per participant. The</w:t>
      </w:r>
      <w:r w:rsidR="00FB78CC">
        <w:t xml:space="preserve"> initial</w:t>
      </w:r>
      <w:r w:rsidRPr="00E64802">
        <w:t xml:space="preserve"> search </w:t>
      </w:r>
      <w:r w:rsidR="00D660D6">
        <w:t>revealed</w:t>
      </w:r>
      <w:r w:rsidR="00D660D6" w:rsidRPr="00E64802">
        <w:t xml:space="preserve"> </w:t>
      </w:r>
      <w:r w:rsidRPr="00E64802">
        <w:t>13 records for SNAP</w:t>
      </w:r>
      <w:r w:rsidR="007314DE" w:rsidRPr="00E64802">
        <w:t>®</w:t>
      </w:r>
      <w:r w:rsidRPr="00E64802">
        <w:t xml:space="preserve"> and 14 records for YIP that were funded by Public Safety Canada between 2008 and 2019. Of those records, 5 SNAP</w:t>
      </w:r>
      <w:r w:rsidR="007314DE" w:rsidRPr="00E64802">
        <w:t>®</w:t>
      </w:r>
      <w:r w:rsidRPr="00E64802">
        <w:t xml:space="preserve"> interventions and 5 YIP interventions included cost per participant</w:t>
      </w:r>
      <w:r w:rsidR="00D660D6">
        <w:t xml:space="preserve"> data</w:t>
      </w:r>
      <w:r w:rsidRPr="00E64802">
        <w:t>. Th</w:t>
      </w:r>
      <w:r w:rsidR="00D660D6">
        <w:t>is</w:t>
      </w:r>
      <w:r w:rsidRPr="00E64802">
        <w:t xml:space="preserve"> report </w:t>
      </w:r>
      <w:r w:rsidR="00D660D6">
        <w:t xml:space="preserve">used the available data in these records to </w:t>
      </w:r>
      <w:r w:rsidRPr="00E64802">
        <w:t>calculate</w:t>
      </w:r>
      <w:r w:rsidR="00D660D6">
        <w:t xml:space="preserve"> </w:t>
      </w:r>
      <w:r w:rsidRPr="00E64802">
        <w:t>the average cost per participant for SNAP</w:t>
      </w:r>
      <w:r w:rsidR="007314DE" w:rsidRPr="00E64802">
        <w:t>®</w:t>
      </w:r>
      <w:r w:rsidRPr="00E64802">
        <w:t xml:space="preserve"> and YIP. The average cost of YIP was calculated based on 4 out of the 5 available interventions; the excluded intervention was deemed an outlier because its cost per participant was approximately half the value of the 4 other interventions. There were 0 records for MST. </w:t>
      </w:r>
      <w:r w:rsidR="00D660D6">
        <w:t>As a result, t</w:t>
      </w:r>
      <w:r w:rsidRPr="00E64802">
        <w:t xml:space="preserve">he cost per participant for MST was based on </w:t>
      </w:r>
      <w:r w:rsidR="00D660D6">
        <w:t>a</w:t>
      </w:r>
      <w:r w:rsidR="00D660D6" w:rsidRPr="00E64802">
        <w:t xml:space="preserve"> </w:t>
      </w:r>
      <w:r w:rsidRPr="00E64802">
        <w:t xml:space="preserve">cost analysis from the </w:t>
      </w:r>
      <w:hyperlink r:id="rId26" w:history="1">
        <w:r w:rsidR="00D660D6">
          <w:rPr>
            <w:rStyle w:val="Hyperlink"/>
          </w:rPr>
          <w:t>Final Evaluation Summary of the Multisystemic Therapy Program</w:t>
        </w:r>
      </w:hyperlink>
      <w:r w:rsidR="00D660D6">
        <w:t xml:space="preserve"> (2015)</w:t>
      </w:r>
      <w:r w:rsidRPr="00E64802">
        <w:t xml:space="preserve">, published by Public Safety Canada. </w:t>
      </w:r>
    </w:p>
    <w:p w14:paraId="35D4D6BA" w14:textId="77777777" w:rsidR="00CD5DC0" w:rsidRPr="00E64802" w:rsidRDefault="00CD5DC0" w:rsidP="00CD5DC0">
      <w:r w:rsidRPr="00E64802">
        <w:t xml:space="preserve">The results of the CPI search were validated by an additional search through program administrative data in the Public Safety Information Management System (PSIMS). No additional results were found. </w:t>
      </w:r>
    </w:p>
    <w:p w14:paraId="413E692D" w14:textId="77777777" w:rsidR="00CD5DC0" w:rsidRPr="00E64802" w:rsidRDefault="00CD5DC0" w:rsidP="00CD5DC0">
      <w:r w:rsidRPr="00E64802">
        <w:t xml:space="preserve">After adjusting for </w:t>
      </w:r>
      <w:r w:rsidRPr="00C76C00">
        <w:t>inflation</w:t>
      </w:r>
      <w:r w:rsidRPr="00E64802">
        <w:t xml:space="preserve">, the estimated </w:t>
      </w:r>
      <w:r>
        <w:t xml:space="preserve">average </w:t>
      </w:r>
      <w:r w:rsidRPr="00E64802">
        <w:t xml:space="preserve">participant costs of the interventions were: </w:t>
      </w:r>
    </w:p>
    <w:p w14:paraId="1255B865" w14:textId="2FF18C26" w:rsidR="00CD5DC0" w:rsidRPr="00E64802" w:rsidRDefault="00CD5DC0" w:rsidP="00CD5DC0">
      <w:pPr>
        <w:numPr>
          <w:ilvl w:val="0"/>
          <w:numId w:val="6"/>
        </w:numPr>
      </w:pPr>
      <w:r w:rsidRPr="00E64802">
        <w:t>$</w:t>
      </w:r>
      <w:r w:rsidR="00854CB3">
        <w:t>20,</w:t>
      </w:r>
      <w:r w:rsidR="009B7D74">
        <w:t>61</w:t>
      </w:r>
      <w:r w:rsidR="000C141F">
        <w:t>5</w:t>
      </w:r>
      <w:r w:rsidRPr="00E64802">
        <w:t xml:space="preserve"> for SNAP</w:t>
      </w:r>
      <w:r w:rsidR="00CD220F" w:rsidRPr="00E64802">
        <w:t>®</w:t>
      </w:r>
      <w:r w:rsidRPr="00E64802">
        <w:t xml:space="preserve"> </w:t>
      </w:r>
    </w:p>
    <w:p w14:paraId="7D8FB462" w14:textId="609A5C1A" w:rsidR="00CD5DC0" w:rsidRPr="00E64802" w:rsidRDefault="00CD5DC0" w:rsidP="00CD5DC0">
      <w:pPr>
        <w:numPr>
          <w:ilvl w:val="0"/>
          <w:numId w:val="6"/>
        </w:numPr>
      </w:pPr>
      <w:r w:rsidRPr="00E64802">
        <w:t>$</w:t>
      </w:r>
      <w:r w:rsidR="00854CB3">
        <w:t>9,</w:t>
      </w:r>
      <w:r w:rsidR="009B7D74">
        <w:t>519</w:t>
      </w:r>
      <w:r w:rsidRPr="00E64802">
        <w:t xml:space="preserve"> for YIP</w:t>
      </w:r>
    </w:p>
    <w:p w14:paraId="0D080E90" w14:textId="64540B43" w:rsidR="00CD5DC0" w:rsidRPr="00E64802" w:rsidRDefault="00CD5DC0" w:rsidP="00CD5DC0">
      <w:pPr>
        <w:numPr>
          <w:ilvl w:val="0"/>
          <w:numId w:val="6"/>
        </w:numPr>
        <w:spacing w:after="320"/>
      </w:pPr>
      <w:r w:rsidRPr="00E64802">
        <w:t>$</w:t>
      </w:r>
      <w:r w:rsidR="00854CB3">
        <w:t>29,</w:t>
      </w:r>
      <w:r w:rsidR="009B7D74">
        <w:t>74</w:t>
      </w:r>
      <w:r w:rsidR="000C141F">
        <w:t>5</w:t>
      </w:r>
      <w:r w:rsidRPr="00E64802">
        <w:t xml:space="preserve"> for MST</w:t>
      </w:r>
    </w:p>
    <w:p w14:paraId="092360A4" w14:textId="77777777" w:rsidR="00CD5DC0" w:rsidRDefault="00CD5DC0" w:rsidP="00CD5DC0">
      <w:pPr>
        <w:pStyle w:val="Heading4"/>
      </w:pPr>
      <w:bookmarkStart w:id="17" w:name="_Calculations_and_assumptions"/>
      <w:bookmarkEnd w:id="17"/>
      <w:r>
        <w:t xml:space="preserve">Calculations and assumptions </w:t>
      </w:r>
    </w:p>
    <w:p w14:paraId="1B48A825" w14:textId="710C6E7E" w:rsidR="00310D6C" w:rsidRPr="00310D6C" w:rsidRDefault="00310D6C" w:rsidP="00076506">
      <w:pPr>
        <w:pStyle w:val="Heading5"/>
      </w:pPr>
      <w:r>
        <w:t>Costing exercise</w:t>
      </w:r>
    </w:p>
    <w:p w14:paraId="35F510E8" w14:textId="69126370" w:rsidR="00D660D6" w:rsidRDefault="00CD5DC0" w:rsidP="00CD5DC0">
      <w:r w:rsidRPr="00E64802">
        <w:t xml:space="preserve">This report used an </w:t>
      </w:r>
      <w:r w:rsidRPr="00E64802">
        <w:rPr>
          <w:b/>
          <w:bCs/>
        </w:rPr>
        <w:t>accounting-style costing methodology</w:t>
      </w:r>
      <w:r w:rsidRPr="00E64802">
        <w:t xml:space="preserve"> </w:t>
      </w:r>
      <w:r w:rsidR="00D660D6">
        <w:t xml:space="preserve">to </w:t>
      </w:r>
      <w:r w:rsidR="00D660D6" w:rsidRPr="00E64802">
        <w:t>calculate the costs of Tyler’s experiences</w:t>
      </w:r>
      <w:r w:rsidR="00D660D6">
        <w:t xml:space="preserve">. This approach is </w:t>
      </w:r>
      <w:r w:rsidRPr="00E64802">
        <w:t>consistent with the Treasury Board of Canada</w:t>
      </w:r>
      <w:r w:rsidR="00D660D6">
        <w:t xml:space="preserve"> Secretariat</w:t>
      </w:r>
      <w:r w:rsidRPr="00E64802">
        <w:t xml:space="preserve">’s </w:t>
      </w:r>
      <w:hyperlink r:id="rId27" w:history="1">
        <w:r w:rsidR="00D660D6">
          <w:rPr>
            <w:rStyle w:val="Hyperlink"/>
          </w:rPr>
          <w:t>Guide to costing</w:t>
        </w:r>
      </w:hyperlink>
      <w:r w:rsidR="00D660D6">
        <w:t xml:space="preserve"> tool</w:t>
      </w:r>
      <w:r w:rsidRPr="00E64802">
        <w:t xml:space="preserve">. Criminogenic events, child protection services, educational supports, and other prototypical incidents in Tyler’s youth were ascribed costs in </w:t>
      </w:r>
      <w:r w:rsidR="00ED6816" w:rsidRPr="00E64802">
        <w:t>202</w:t>
      </w:r>
      <w:r w:rsidR="00ED6816">
        <w:t>5</w:t>
      </w:r>
      <w:r w:rsidR="00F4103F">
        <w:t xml:space="preserve"> </w:t>
      </w:r>
      <w:r w:rsidRPr="00E64802">
        <w:t xml:space="preserve">Canadian dollars. </w:t>
      </w:r>
    </w:p>
    <w:p w14:paraId="2D3F1B24" w14:textId="5E2E11F5" w:rsidR="00CD5DC0" w:rsidRPr="00E64802" w:rsidRDefault="00D660D6" w:rsidP="00CD5DC0">
      <w:r w:rsidRPr="00660496">
        <w:t>To estimate these individual story element costs, the report used a technique that adjusted data from similar past studies to fit Tyler's situation, considering factors like how long, severe, or frequent each cost element was</w:t>
      </w:r>
      <w:r w:rsidR="00CD5DC0" w:rsidRPr="006C56F5">
        <w:t>.</w:t>
      </w:r>
      <w:r w:rsidRPr="006C56F5">
        <w:t xml:space="preserve"> Where similar costs were not available, new ones were obtained by researching the costs of a story element or by contacting experts in the field (for instance, school administrators, children’s service workers, and psychological service providers).</w:t>
      </w:r>
      <w:r w:rsidR="00CD5DC0" w:rsidRPr="00E64802">
        <w:t xml:space="preserve"> </w:t>
      </w:r>
      <w:r w:rsidRPr="00D660D6">
        <w:t xml:space="preserve">To avoid extreme values, the report used conservative estimates. Whenever possible, data </w:t>
      </w:r>
      <w:r>
        <w:t>were</w:t>
      </w:r>
      <w:r w:rsidRPr="00D660D6">
        <w:t xml:space="preserve"> taken from Canadian sources, and the most recent data </w:t>
      </w:r>
      <w:r>
        <w:t>were</w:t>
      </w:r>
      <w:r w:rsidRPr="00D660D6">
        <w:t xml:space="preserve"> </w:t>
      </w:r>
      <w:r>
        <w:t>prioritized</w:t>
      </w:r>
      <w:r w:rsidRPr="00D660D6">
        <w:t>.</w:t>
      </w:r>
    </w:p>
    <w:p w14:paraId="69010A52" w14:textId="2873CA22" w:rsidR="00CD5DC0" w:rsidRDefault="00CD5DC0" w:rsidP="00CD5DC0">
      <w:r w:rsidRPr="00E64802">
        <w:t>The report estimated the cost of</w:t>
      </w:r>
      <w:r w:rsidR="00CD6A0C">
        <w:t xml:space="preserve"> delivering police services, court services, prosecution services, and Criminal Code Review Boards. It also estimated costs related to</w:t>
      </w:r>
      <w:r w:rsidRPr="00E64802">
        <w:t xml:space="preserve"> correctional services and offence types for youth and adults, respectively. These included violent crimes, property crimes, </w:t>
      </w:r>
      <w:r w:rsidR="00D660D6">
        <w:t xml:space="preserve">auto theft, </w:t>
      </w:r>
      <w:r w:rsidRPr="00E64802">
        <w:t xml:space="preserve">drug offences, and other </w:t>
      </w:r>
      <w:r w:rsidRPr="00E64802">
        <w:rPr>
          <w:i/>
          <w:iCs/>
        </w:rPr>
        <w:t>Criminal Code</w:t>
      </w:r>
      <w:r w:rsidRPr="00E64802">
        <w:t xml:space="preserve"> offences. The potential costs associated with Tyler’s custodial sentences accounted for his expected criminal justice system trajectory, including but not limited to, factors such as security classification, type and duration of custody, and release into the community. Time served in remand and presentence were assumed in the overall sentence time. Tyler’s expected trajectory reflected available data on average incarceration experiences in Canada. </w:t>
      </w:r>
    </w:p>
    <w:p w14:paraId="6175CDDC" w14:textId="6CE5D34B" w:rsidR="00310D6C" w:rsidRPr="00E64802" w:rsidRDefault="00310D6C" w:rsidP="00076506">
      <w:pPr>
        <w:pStyle w:val="Heading5"/>
      </w:pPr>
      <w:r>
        <w:t>Cost-benefit analysis</w:t>
      </w:r>
    </w:p>
    <w:p w14:paraId="67F5C840" w14:textId="7D1E43EE" w:rsidR="00CD5DC0" w:rsidRPr="00E64802" w:rsidRDefault="00CD5DC0" w:rsidP="00CD5DC0">
      <w:r w:rsidRPr="00E64802">
        <w:t xml:space="preserve">Using the tangible costs associated with Tyler’s story and the participant costs of the interventions, a </w:t>
      </w:r>
      <w:r w:rsidRPr="00E64802">
        <w:rPr>
          <w:b/>
          <w:bCs/>
        </w:rPr>
        <w:t>cost-benefit analysis</w:t>
      </w:r>
      <w:r w:rsidRPr="00310D6C">
        <w:t xml:space="preserve"> </w:t>
      </w:r>
      <w:r w:rsidR="006C6F06" w:rsidRPr="006C6F06">
        <w:t>(Jayaratne, 2013;</w:t>
      </w:r>
      <w:r w:rsidR="001A65B7">
        <w:t xml:space="preserve"> McIntosh </w:t>
      </w:r>
      <w:r w:rsidR="00CD6A0C">
        <w:t>and</w:t>
      </w:r>
      <w:r w:rsidR="001A65B7">
        <w:t xml:space="preserve"> Li, 2012;</w:t>
      </w:r>
      <w:r w:rsidR="006C6F06" w:rsidRPr="006C6F06">
        <w:t xml:space="preserve"> Stobierski, 2013)</w:t>
      </w:r>
      <w:r w:rsidR="006C6F06">
        <w:t xml:space="preserve"> </w:t>
      </w:r>
      <w:r w:rsidRPr="00E64802">
        <w:t xml:space="preserve">estimated potential cost savings had interventions been delivered at various </w:t>
      </w:r>
      <w:r>
        <w:t>life periods</w:t>
      </w:r>
      <w:r w:rsidRPr="00E64802">
        <w:t xml:space="preserve"> in Tyler’s story. The analysis was done in three steps:</w:t>
      </w:r>
    </w:p>
    <w:p w14:paraId="5B101EA2" w14:textId="42AC1226" w:rsidR="00CD5DC0" w:rsidRPr="00E64802" w:rsidRDefault="00CD5DC0" w:rsidP="002C377F">
      <w:pPr>
        <w:numPr>
          <w:ilvl w:val="0"/>
          <w:numId w:val="7"/>
        </w:numPr>
        <w:spacing w:after="320"/>
        <w:ind w:left="720"/>
      </w:pPr>
      <w:r w:rsidRPr="00E64802">
        <w:rPr>
          <w:b/>
          <w:bCs/>
        </w:rPr>
        <w:t xml:space="preserve">Estimated cost </w:t>
      </w:r>
      <w:r>
        <w:rPr>
          <w:b/>
          <w:bCs/>
        </w:rPr>
        <w:t>for</w:t>
      </w:r>
      <w:r w:rsidRPr="00E64802">
        <w:rPr>
          <w:b/>
          <w:bCs/>
        </w:rPr>
        <w:t xml:space="preserve"> each </w:t>
      </w:r>
      <w:r>
        <w:rPr>
          <w:b/>
          <w:bCs/>
        </w:rPr>
        <w:t>life period</w:t>
      </w:r>
      <w:r w:rsidRPr="00E64802">
        <w:t xml:space="preserve">: The proposed interventions in Tyler’s story would have happened at three </w:t>
      </w:r>
      <w:r>
        <w:t>life periods</w:t>
      </w:r>
      <w:r w:rsidRPr="00E64802">
        <w:t xml:space="preserve">: ages </w:t>
      </w:r>
      <w:r w:rsidR="00CD6A0C">
        <w:t>10</w:t>
      </w:r>
      <w:r w:rsidRPr="00E64802">
        <w:t xml:space="preserve">, </w:t>
      </w:r>
      <w:r w:rsidR="006F7285" w:rsidRPr="00E64802">
        <w:t>1</w:t>
      </w:r>
      <w:r w:rsidR="006F7285">
        <w:t>3</w:t>
      </w:r>
      <w:r w:rsidRPr="00E64802">
        <w:t xml:space="preserve">, and 17. The estimated costs </w:t>
      </w:r>
      <w:r>
        <w:t xml:space="preserve">that </w:t>
      </w:r>
      <w:r w:rsidRPr="00E64802">
        <w:t xml:space="preserve">Tyler would have incurred at each of these </w:t>
      </w:r>
      <w:r>
        <w:t>life periods were</w:t>
      </w:r>
      <w:r w:rsidRPr="00E64802">
        <w:t xml:space="preserve"> calculated by </w:t>
      </w:r>
      <w:r w:rsidRPr="00F039BF">
        <w:t>finding the sum of all costs</w:t>
      </w:r>
      <w:r w:rsidR="00CD6A0C">
        <w:t xml:space="preserve"> (including Tyler’s direct criminal justice system, social services, and medical costs)</w:t>
      </w:r>
      <w:r w:rsidRPr="00F039BF">
        <w:t xml:space="preserve"> in his life up </w:t>
      </w:r>
      <w:r w:rsidR="00CD6A0C">
        <w:t>until</w:t>
      </w:r>
      <w:r w:rsidR="00CD6A0C" w:rsidRPr="00F039BF">
        <w:t xml:space="preserve"> </w:t>
      </w:r>
      <w:r w:rsidRPr="00F039BF">
        <w:t>that point</w:t>
      </w:r>
      <w:r w:rsidR="00CD6A0C">
        <w:t xml:space="preserve"> in the story</w:t>
      </w:r>
      <w:r w:rsidRPr="00E64802">
        <w:t xml:space="preserve">. </w:t>
      </w:r>
    </w:p>
    <w:p w14:paraId="14740F76" w14:textId="3F3DD17B" w:rsidR="00CD5DC0" w:rsidRPr="00E64802" w:rsidRDefault="00CD5DC0" w:rsidP="002C377F">
      <w:pPr>
        <w:numPr>
          <w:ilvl w:val="0"/>
          <w:numId w:val="7"/>
        </w:numPr>
        <w:spacing w:after="320"/>
        <w:ind w:left="720"/>
      </w:pPr>
      <w:r w:rsidRPr="00E64802">
        <w:rPr>
          <w:b/>
          <w:bCs/>
        </w:rPr>
        <w:t>Calculated costs saved</w:t>
      </w:r>
      <w:r w:rsidRPr="00E64802">
        <w:t xml:space="preserve">: The costs saved </w:t>
      </w:r>
      <w:r>
        <w:t>represents</w:t>
      </w:r>
      <w:r w:rsidRPr="00E64802">
        <w:t xml:space="preserve"> the costs that would have </w:t>
      </w:r>
      <w:r w:rsidR="005F4DCE">
        <w:t xml:space="preserve">likely </w:t>
      </w:r>
      <w:r>
        <w:t>been saved</w:t>
      </w:r>
      <w:r w:rsidRPr="00E64802">
        <w:t xml:space="preserve"> after each </w:t>
      </w:r>
      <w:r>
        <w:t>life period</w:t>
      </w:r>
      <w:r w:rsidRPr="00E64802">
        <w:t xml:space="preserve"> </w:t>
      </w:r>
      <w:r w:rsidR="002D6ECE">
        <w:t xml:space="preserve">if he </w:t>
      </w:r>
      <w:r w:rsidRPr="00E64802">
        <w:t>had not undergone an intervention, minus the cost of the intervention itself. For example, if Tyler had participated in SNAP</w:t>
      </w:r>
      <w:r w:rsidR="00CD220F" w:rsidRPr="00E64802">
        <w:t>®</w:t>
      </w:r>
      <w:r w:rsidRPr="00E64802">
        <w:t xml:space="preserve"> at age </w:t>
      </w:r>
      <w:r w:rsidR="00CD6A0C">
        <w:t>10</w:t>
      </w:r>
      <w:r w:rsidRPr="00E64802">
        <w:t xml:space="preserve">, the costs saved would include all expenses that occurred after age </w:t>
      </w:r>
      <w:r w:rsidR="00CD6A0C">
        <w:t>10</w:t>
      </w:r>
      <w:r w:rsidRPr="00E64802">
        <w:t xml:space="preserve"> in his story, minus the cost of SNAP</w:t>
      </w:r>
      <w:r w:rsidR="00CD220F" w:rsidRPr="00E64802">
        <w:t>®</w:t>
      </w:r>
      <w:r w:rsidRPr="00E64802">
        <w:t xml:space="preserve">. The costs saved with each intervention was estimated with the following formula, where </w:t>
      </w:r>
      <w:r w:rsidRPr="00E64802">
        <w:rPr>
          <w:i/>
          <w:iCs/>
        </w:rPr>
        <w:t>j</w:t>
      </w:r>
      <w:r w:rsidRPr="00E64802">
        <w:t xml:space="preserve"> represents the </w:t>
      </w:r>
      <w:r>
        <w:t>life period</w:t>
      </w:r>
      <w:r w:rsidRPr="00E64802">
        <w:t xml:space="preserve"> (</w:t>
      </w:r>
      <w:r w:rsidR="00CD220F">
        <w:t>like</w:t>
      </w:r>
      <w:r w:rsidRPr="00E64802">
        <w:t xml:space="preserve"> age) during which Tyler could have undergone the intervention, and where </w:t>
      </w:r>
      <w:proofErr w:type="spellStart"/>
      <w:r w:rsidRPr="00E64802">
        <w:rPr>
          <w:i/>
          <w:iCs/>
        </w:rPr>
        <w:t>i</w:t>
      </w:r>
      <w:proofErr w:type="spellEnd"/>
      <w:r w:rsidRPr="00E64802">
        <w:rPr>
          <w:i/>
          <w:iCs/>
        </w:rPr>
        <w:t xml:space="preserve"> </w:t>
      </w:r>
      <w:r w:rsidRPr="00E64802">
        <w:t>represents the type of intervention (</w:t>
      </w:r>
      <w:r w:rsidR="00CD220F">
        <w:t>for example</w:t>
      </w:r>
      <w:r w:rsidRPr="00E64802">
        <w:t>, SNAP</w:t>
      </w:r>
      <w:r w:rsidR="00CD220F" w:rsidRPr="00E64802">
        <w:t>®</w:t>
      </w:r>
      <w:r w:rsidRPr="00E64802">
        <w:t>, YIP</w:t>
      </w:r>
      <w:r w:rsidR="00790E9D">
        <w:t>,</w:t>
      </w:r>
      <w:r w:rsidR="00CD220F">
        <w:t xml:space="preserve"> or</w:t>
      </w:r>
      <w:r w:rsidRPr="00E64802">
        <w:t xml:space="preserve"> MST):</w:t>
      </w:r>
    </w:p>
    <w:p w14:paraId="4381D6D7" w14:textId="77777777" w:rsidR="00CD5DC0" w:rsidRPr="00E64802" w:rsidRDefault="00CD5DC0" w:rsidP="00CD5DC0">
      <w:pPr>
        <w:jc w:val="center"/>
      </w:pPr>
      <w:r>
        <w:t>Costs saved</w:t>
      </w:r>
      <w:r w:rsidRPr="00E64802">
        <w:t xml:space="preserve"> = sum of Tyler’s expenses after </w:t>
      </w:r>
      <w:r w:rsidRPr="00E64802">
        <w:rPr>
          <w:i/>
          <w:iCs/>
        </w:rPr>
        <w:t>j</w:t>
      </w:r>
      <w:r w:rsidRPr="00E64802">
        <w:t xml:space="preserve"> </w:t>
      </w:r>
      <w:r>
        <w:t>life period</w:t>
      </w:r>
      <w:r w:rsidRPr="00E64802">
        <w:t xml:space="preserve"> – the cost of </w:t>
      </w:r>
      <w:proofErr w:type="spellStart"/>
      <w:r w:rsidRPr="00E64802">
        <w:rPr>
          <w:i/>
          <w:iCs/>
        </w:rPr>
        <w:t>i</w:t>
      </w:r>
      <w:proofErr w:type="spellEnd"/>
      <w:r w:rsidRPr="00E64802">
        <w:rPr>
          <w:i/>
          <w:iCs/>
        </w:rPr>
        <w:t xml:space="preserve"> </w:t>
      </w:r>
      <w:r w:rsidRPr="00E64802">
        <w:t>intervention</w:t>
      </w:r>
    </w:p>
    <w:p w14:paraId="671BE00D" w14:textId="419A2BA2" w:rsidR="00CD5DC0" w:rsidRDefault="00CD5DC0" w:rsidP="002C377F">
      <w:pPr>
        <w:numPr>
          <w:ilvl w:val="0"/>
          <w:numId w:val="7"/>
        </w:numPr>
        <w:spacing w:before="240" w:after="320"/>
        <w:ind w:left="720"/>
      </w:pPr>
      <w:r w:rsidRPr="00E64802">
        <w:rPr>
          <w:b/>
          <w:bCs/>
        </w:rPr>
        <w:t>Determin</w:t>
      </w:r>
      <w:r>
        <w:rPr>
          <w:b/>
          <w:bCs/>
        </w:rPr>
        <w:t>ing</w:t>
      </w:r>
      <w:r w:rsidRPr="00E64802">
        <w:rPr>
          <w:b/>
          <w:bCs/>
        </w:rPr>
        <w:t xml:space="preserve"> cost-benefit ratio</w:t>
      </w:r>
      <w:r w:rsidRPr="00E64802">
        <w:t xml:space="preserve">: a cost-benefit ratio was calculated to represent the amount saved given every dollar spent on an intervention for Tyler. To this end, the sum of the costs Tyler would have incurred after </w:t>
      </w:r>
      <w:r w:rsidRPr="00E64802">
        <w:rPr>
          <w:i/>
          <w:iCs/>
        </w:rPr>
        <w:t xml:space="preserve">j </w:t>
      </w:r>
      <w:r>
        <w:t xml:space="preserve">life period </w:t>
      </w:r>
      <w:r w:rsidR="005F26D9">
        <w:t xml:space="preserve">if </w:t>
      </w:r>
      <w:r w:rsidRPr="00E64802">
        <w:t>he</w:t>
      </w:r>
      <w:r w:rsidR="005F26D9">
        <w:t xml:space="preserve"> had</w:t>
      </w:r>
      <w:r w:rsidRPr="00E64802">
        <w:t xml:space="preserve"> not undergone an intervention was divided by the cost of </w:t>
      </w:r>
      <w:proofErr w:type="spellStart"/>
      <w:r w:rsidRPr="00E64802">
        <w:rPr>
          <w:i/>
          <w:iCs/>
        </w:rPr>
        <w:t>i</w:t>
      </w:r>
      <w:proofErr w:type="spellEnd"/>
      <w:r w:rsidRPr="00E64802">
        <w:rPr>
          <w:i/>
          <w:iCs/>
        </w:rPr>
        <w:t xml:space="preserve"> </w:t>
      </w:r>
      <w:r w:rsidRPr="00E64802">
        <w:t>intervention. The formula is as follows:</w:t>
      </w:r>
    </w:p>
    <w:p w14:paraId="336F4CC8" w14:textId="524D1EE7" w:rsidR="00CD5DC0" w:rsidRDefault="00CD5DC0" w:rsidP="00CD5DC0">
      <w:pPr>
        <w:spacing w:before="240"/>
        <w:jc w:val="center"/>
      </w:pPr>
      <w:r w:rsidRPr="00E64802">
        <w:t xml:space="preserve">Cost-benefit ratio = sum of Tyler’s expenses after </w:t>
      </w:r>
      <w:r w:rsidRPr="0067447F">
        <w:rPr>
          <w:i/>
          <w:iCs/>
        </w:rPr>
        <w:t>j</w:t>
      </w:r>
      <w:r w:rsidRPr="00E64802">
        <w:t xml:space="preserve"> </w:t>
      </w:r>
      <w:r>
        <w:t>life period</w:t>
      </w:r>
      <w:r w:rsidRPr="00E64802">
        <w:t xml:space="preserve"> / cost of the </w:t>
      </w:r>
      <w:r w:rsidR="00D73121">
        <w:t xml:space="preserve">                       </w:t>
      </w:r>
      <w:proofErr w:type="spellStart"/>
      <w:r w:rsidRPr="0067447F">
        <w:rPr>
          <w:i/>
          <w:iCs/>
        </w:rPr>
        <w:t>i</w:t>
      </w:r>
      <w:proofErr w:type="spellEnd"/>
      <w:r w:rsidRPr="0067447F">
        <w:rPr>
          <w:i/>
          <w:iCs/>
        </w:rPr>
        <w:t xml:space="preserve"> </w:t>
      </w:r>
      <w:r w:rsidRPr="00E64802">
        <w:t>intervention</w:t>
      </w:r>
    </w:p>
    <w:p w14:paraId="4FE16A60" w14:textId="41C8A026" w:rsidR="00CD5DC0" w:rsidRPr="00224EFB" w:rsidRDefault="00CD5DC0" w:rsidP="00CD5DC0">
      <w:r w:rsidRPr="00942B96">
        <w:t xml:space="preserve">A cost-benefit ratio can </w:t>
      </w:r>
      <w:r w:rsidR="00C87715">
        <w:t xml:space="preserve">indicate a </w:t>
      </w:r>
      <w:r w:rsidR="00AD534B">
        <w:t>gain</w:t>
      </w:r>
      <w:r w:rsidR="00C87715">
        <w:t>,</w:t>
      </w:r>
      <w:r w:rsidRPr="00942B96">
        <w:t xml:space="preserve"> </w:t>
      </w:r>
      <w:r w:rsidR="00C87715">
        <w:t xml:space="preserve">a </w:t>
      </w:r>
      <w:r w:rsidR="00AD534B">
        <w:t>loss</w:t>
      </w:r>
      <w:r w:rsidR="00C87715">
        <w:t>, or equality</w:t>
      </w:r>
      <w:r w:rsidRPr="00942B96">
        <w:t xml:space="preserve">. </w:t>
      </w:r>
      <w:r w:rsidR="00C87715" w:rsidRPr="00C87715">
        <w:t>A ratio of 1 indicates that the costs and benefits are equal.</w:t>
      </w:r>
      <w:r w:rsidR="00C87715">
        <w:t xml:space="preserve"> </w:t>
      </w:r>
      <w:r w:rsidR="00C87715" w:rsidRPr="00C87715">
        <w:t xml:space="preserve">A ratio </w:t>
      </w:r>
      <w:r w:rsidR="00332B64">
        <w:t xml:space="preserve">greater than </w:t>
      </w:r>
      <w:r w:rsidR="00C87715" w:rsidRPr="00C87715">
        <w:t xml:space="preserve">1 indicates </w:t>
      </w:r>
      <w:r w:rsidR="00332B64">
        <w:t xml:space="preserve">that </w:t>
      </w:r>
      <w:r w:rsidR="00C87715">
        <w:t xml:space="preserve">the benefits exceed the costs, while </w:t>
      </w:r>
      <w:r w:rsidR="00AD534B">
        <w:t>a</w:t>
      </w:r>
      <w:r w:rsidRPr="00942B96">
        <w:t xml:space="preserve"> ratio </w:t>
      </w:r>
      <w:r w:rsidR="00AD534B">
        <w:t xml:space="preserve">less than 1 </w:t>
      </w:r>
      <w:r w:rsidR="00332B64">
        <w:t>shows</w:t>
      </w:r>
      <w:r w:rsidRPr="00942B96">
        <w:t xml:space="preserve"> </w:t>
      </w:r>
      <w:r w:rsidR="00C87715">
        <w:t xml:space="preserve">that the costs exceed the benefits. </w:t>
      </w:r>
      <w:r w:rsidRPr="00942B96">
        <w:t xml:space="preserve"> </w:t>
      </w:r>
    </w:p>
    <w:p w14:paraId="15BAB6ED" w14:textId="77777777" w:rsidR="00CD5DC0" w:rsidRPr="00E64802" w:rsidRDefault="00CD5DC0" w:rsidP="00CD5DC0">
      <w:pPr>
        <w:pStyle w:val="Heading5"/>
      </w:pPr>
      <w:r>
        <w:t>Inflation calculations</w:t>
      </w:r>
    </w:p>
    <w:p w14:paraId="3708519A" w14:textId="5A8A5962" w:rsidR="00CD5DC0" w:rsidRPr="00E64802" w:rsidRDefault="00CD5DC0" w:rsidP="00CD5DC0">
      <w:r w:rsidRPr="00E64802">
        <w:t>All costs (</w:t>
      </w:r>
      <w:r w:rsidR="00CD220F">
        <w:t>such as</w:t>
      </w:r>
      <w:r w:rsidRPr="00E64802">
        <w:t xml:space="preserve"> crime costs and intervention costs) were adjusted to </w:t>
      </w:r>
      <w:r w:rsidR="00ED6816" w:rsidRPr="00E64802">
        <w:t>202</w:t>
      </w:r>
      <w:r w:rsidR="00ED6816">
        <w:t xml:space="preserve">5 </w:t>
      </w:r>
      <w:r w:rsidRPr="00E64802">
        <w:t xml:space="preserve">Canadian dollars (as of </w:t>
      </w:r>
      <w:r w:rsidR="009B7D74">
        <w:t xml:space="preserve">April </w:t>
      </w:r>
      <w:r w:rsidR="00ED6816">
        <w:t>2025</w:t>
      </w:r>
      <w:r w:rsidRPr="00E64802">
        <w:t xml:space="preserve">) using the </w:t>
      </w:r>
      <w:hyperlink r:id="rId28" w:history="1">
        <w:r w:rsidRPr="00E64802">
          <w:rPr>
            <w:rStyle w:val="Hyperlink"/>
          </w:rPr>
          <w:t>Bank of Canada Inflation Calculator</w:t>
        </w:r>
      </w:hyperlink>
      <w:r w:rsidRPr="00E64802">
        <w:t>. This calculator used monthly consumer price index data from 1914 to the present to show</w:t>
      </w:r>
      <w:r>
        <w:t xml:space="preserve"> </w:t>
      </w:r>
      <w:r w:rsidRPr="00E64802">
        <w:t xml:space="preserve">changes in the cost of a fixed "basket" of consumer purchases. This report acknowledges that the </w:t>
      </w:r>
      <w:r w:rsidR="00EA4404">
        <w:t>consumer price index</w:t>
      </w:r>
      <w:r w:rsidR="00EA4404" w:rsidRPr="00E64802">
        <w:t xml:space="preserve"> </w:t>
      </w:r>
      <w:r w:rsidRPr="00E64802">
        <w:t xml:space="preserve">is not a true cost-of-living index and is therefore subject to measurement bias. </w:t>
      </w:r>
    </w:p>
    <w:p w14:paraId="552F60ED" w14:textId="7FBB1033" w:rsidR="00CD5DC0" w:rsidRDefault="00CD5DC0" w:rsidP="00C845E2">
      <w:pPr>
        <w:pStyle w:val="Heading4"/>
      </w:pPr>
      <w:bookmarkStart w:id="18" w:name="_Toc189579950"/>
      <w:r>
        <w:t>Limits</w:t>
      </w:r>
      <w:bookmarkEnd w:id="18"/>
    </w:p>
    <w:p w14:paraId="145C0AAB" w14:textId="098918AD" w:rsidR="00CD5DC0" w:rsidRDefault="00CD5DC0" w:rsidP="00C845E2">
      <w:pPr>
        <w:pStyle w:val="Heading5"/>
      </w:pPr>
      <w:r>
        <w:t>Data limitations</w:t>
      </w:r>
    </w:p>
    <w:p w14:paraId="2A11F021" w14:textId="6B845F37" w:rsidR="00CD5DC0" w:rsidRPr="00E64802" w:rsidRDefault="00CD5DC0" w:rsidP="00D97FE7">
      <w:r w:rsidRPr="00E64802">
        <w:t xml:space="preserve">Data limitations are the greatest challenge in costing studies (Li, 2023). A lack of </w:t>
      </w:r>
      <w:r>
        <w:t xml:space="preserve">publicly-available </w:t>
      </w:r>
      <w:r w:rsidRPr="00E64802">
        <w:t>data across topics and jurisdictions limits the possibilities and accuracy of the cost calculus. For example, although national estimates are produced where possible, in some cases data</w:t>
      </w:r>
      <w:r>
        <w:t xml:space="preserve"> </w:t>
      </w:r>
      <w:r w:rsidRPr="00E64802">
        <w:t xml:space="preserve">were not available for all provinces and territories. </w:t>
      </w:r>
    </w:p>
    <w:p w14:paraId="0D35E9B3" w14:textId="32F0A14C" w:rsidR="00CD5DC0" w:rsidRPr="00E64802" w:rsidRDefault="00DC1862" w:rsidP="00D97FE7">
      <w:r w:rsidRPr="00DC1862">
        <w:t>One limitation of the report is the absence of current research on specific costing elements</w:t>
      </w:r>
      <w:r w:rsidR="00CD5DC0" w:rsidRPr="00E64802">
        <w:t>. Examples of these costing elements include offence types (</w:t>
      </w:r>
      <w:r w:rsidR="00CD220F">
        <w:t>for example</w:t>
      </w:r>
      <w:r w:rsidR="00CD5DC0" w:rsidRPr="00E64802">
        <w:t xml:space="preserve">, theft under $5,000, damage to property), police calls for service, </w:t>
      </w:r>
      <w:r w:rsidR="00ED6816">
        <w:t xml:space="preserve">and </w:t>
      </w:r>
      <w:r w:rsidR="00CD5DC0" w:rsidRPr="00E64802">
        <w:t>courts data (</w:t>
      </w:r>
      <w:r w:rsidR="00CD220F">
        <w:t>like</w:t>
      </w:r>
      <w:r w:rsidR="00CD5DC0" w:rsidRPr="00E64802">
        <w:t xml:space="preserve"> appearances)</w:t>
      </w:r>
      <w:r w:rsidR="00ED6816">
        <w:t>.</w:t>
      </w:r>
    </w:p>
    <w:p w14:paraId="519CF962" w14:textId="6074C094" w:rsidR="00310D6C" w:rsidRDefault="00310D6C" w:rsidP="00D97FE7">
      <w:r>
        <w:t>W</w:t>
      </w:r>
      <w:r w:rsidR="00CD5DC0" w:rsidRPr="00E64802">
        <w:t>hile the cost-benefit analyses may have shown greater savings for one intervention over another (</w:t>
      </w:r>
      <w:r w:rsidR="00CD220F">
        <w:t>such as</w:t>
      </w:r>
      <w:r w:rsidR="00CD5DC0" w:rsidRPr="00E64802">
        <w:t xml:space="preserve"> YIP over MST), these are best-case scenario estimates that assume the intervention was completely effective and Tyler ceased any future criminal </w:t>
      </w:r>
      <w:r w:rsidR="0034275C">
        <w:t>behaviour</w:t>
      </w:r>
      <w:r w:rsidR="00CD5DC0" w:rsidRPr="00E64802">
        <w:t xml:space="preserve"> after treatment. In reality, </w:t>
      </w:r>
      <w:r>
        <w:t xml:space="preserve">it is </w:t>
      </w:r>
      <w:r w:rsidR="006655FB">
        <w:t>possible</w:t>
      </w:r>
      <w:r w:rsidR="006655FB" w:rsidRPr="00E64802">
        <w:t xml:space="preserve"> </w:t>
      </w:r>
      <w:r w:rsidR="00CD5DC0" w:rsidRPr="00E64802">
        <w:t xml:space="preserve">that the program </w:t>
      </w:r>
      <w:r w:rsidR="006F7285">
        <w:t>would</w:t>
      </w:r>
      <w:r>
        <w:t xml:space="preserve"> not be entirely effective</w:t>
      </w:r>
      <w:r w:rsidR="002B33A8" w:rsidRPr="00E64802">
        <w:t>,</w:t>
      </w:r>
      <w:r w:rsidR="00CD5DC0" w:rsidRPr="00E64802">
        <w:t xml:space="preserve"> and </w:t>
      </w:r>
      <w:r>
        <w:t xml:space="preserve">that </w:t>
      </w:r>
      <w:r w:rsidRPr="00E64802">
        <w:t>Tyler</w:t>
      </w:r>
      <w:r>
        <w:t xml:space="preserve"> </w:t>
      </w:r>
      <w:r w:rsidR="008F0E58">
        <w:t xml:space="preserve">might </w:t>
      </w:r>
      <w:r w:rsidR="00CD5DC0" w:rsidRPr="00E64802">
        <w:t>continue</w:t>
      </w:r>
      <w:r>
        <w:t xml:space="preserve"> some of</w:t>
      </w:r>
      <w:r w:rsidR="00CD5DC0" w:rsidRPr="00E64802">
        <w:t xml:space="preserve"> his criminal activity after the intervention. </w:t>
      </w:r>
    </w:p>
    <w:p w14:paraId="685324FB" w14:textId="5A62AA98" w:rsidR="00CD5DC0" w:rsidRDefault="00CD5DC0" w:rsidP="00D97FE7">
      <w:r w:rsidRPr="00E64802">
        <w:t xml:space="preserve">Evaluations of these programs </w:t>
      </w:r>
      <w:r w:rsidR="00310D6C">
        <w:t xml:space="preserve">that </w:t>
      </w:r>
      <w:r w:rsidRPr="00E64802">
        <w:t xml:space="preserve">assess delinquency and criminal behaviour before and after the intervention </w:t>
      </w:r>
      <w:r w:rsidR="00E07696">
        <w:t>have</w:t>
      </w:r>
      <w:r w:rsidRPr="00E64802">
        <w:t xml:space="preserve"> been implemented, compar</w:t>
      </w:r>
      <w:r w:rsidR="00E07696">
        <w:t>ing</w:t>
      </w:r>
      <w:r w:rsidRPr="00E64802">
        <w:t xml:space="preserve"> changes in criminal behaviour with changes observed from other types of interventions. </w:t>
      </w:r>
      <w:r w:rsidR="00310D6C">
        <w:t>This</w:t>
      </w:r>
      <w:r w:rsidRPr="00E64802">
        <w:t xml:space="preserve"> research has demonstrated that these interventions decrease the number of </w:t>
      </w:r>
      <w:r w:rsidR="002B33A8" w:rsidRPr="00E64802">
        <w:t>youth</w:t>
      </w:r>
      <w:r w:rsidRPr="00E64802">
        <w:t xml:space="preserve"> that engage in further criminal behaviour after the intervention</w:t>
      </w:r>
      <w:r w:rsidR="00CD220F">
        <w:t>.</w:t>
      </w:r>
      <w:r w:rsidRPr="00E64802">
        <w:t xml:space="preserve"> </w:t>
      </w:r>
      <w:r w:rsidR="00CD220F">
        <w:t>Y</w:t>
      </w:r>
      <w:r w:rsidRPr="00E64802">
        <w:t xml:space="preserve">et there is almost always a portion of the </w:t>
      </w:r>
      <w:r w:rsidR="00310D6C">
        <w:t>intervention participants</w:t>
      </w:r>
      <w:r w:rsidR="00310D6C" w:rsidRPr="00E64802">
        <w:t xml:space="preserve"> </w:t>
      </w:r>
      <w:r w:rsidRPr="00E64802">
        <w:t xml:space="preserve">that continue their criminal </w:t>
      </w:r>
      <w:r w:rsidR="00310D6C">
        <w:t>involvement</w:t>
      </w:r>
      <w:r w:rsidR="00310D6C" w:rsidRPr="00E64802">
        <w:t xml:space="preserve"> </w:t>
      </w:r>
      <w:r w:rsidRPr="00E64802">
        <w:t xml:space="preserve">after the intervention (Burke </w:t>
      </w:r>
      <w:r w:rsidR="00EA4404">
        <w:t>and</w:t>
      </w:r>
      <w:r w:rsidRPr="00E64802">
        <w:t xml:space="preserve"> Loeber, 2016; Laliberte, 2015; Public Safety Canada, 2021; van der </w:t>
      </w:r>
      <w:proofErr w:type="spellStart"/>
      <w:r w:rsidRPr="00E64802">
        <w:t>Stouwe</w:t>
      </w:r>
      <w:proofErr w:type="spellEnd"/>
      <w:r w:rsidRPr="00E64802">
        <w:t xml:space="preserve"> et al., 2014). </w:t>
      </w:r>
      <w:r w:rsidRPr="00C845E2">
        <w:t xml:space="preserve">Therefore, </w:t>
      </w:r>
      <w:r w:rsidRPr="00C845E2">
        <w:rPr>
          <w:b/>
          <w:bCs/>
        </w:rPr>
        <w:t xml:space="preserve">these cost-saving estimates only offer a best-case scenario illustration of the potential cost savings if Tyler </w:t>
      </w:r>
      <w:r w:rsidR="00106736">
        <w:rPr>
          <w:b/>
          <w:bCs/>
        </w:rPr>
        <w:t xml:space="preserve">had </w:t>
      </w:r>
      <w:r w:rsidRPr="00C845E2">
        <w:rPr>
          <w:b/>
          <w:bCs/>
        </w:rPr>
        <w:t>received the appropriate and effective intervention and ceased any further criminal behaviour</w:t>
      </w:r>
      <w:r w:rsidRPr="006F7285">
        <w:t>.</w:t>
      </w:r>
      <w:r>
        <w:t xml:space="preserve"> </w:t>
      </w:r>
    </w:p>
    <w:p w14:paraId="54556695" w14:textId="65013D29" w:rsidR="00E75AC5" w:rsidRDefault="00E75AC5" w:rsidP="00C845E2">
      <w:pPr>
        <w:pStyle w:val="Heading5"/>
      </w:pPr>
      <w:r>
        <w:t>Intangible costs of crime</w:t>
      </w:r>
    </w:p>
    <w:p w14:paraId="653B10B3" w14:textId="0DAE07DB" w:rsidR="00E75AC5" w:rsidRPr="00E75AC5" w:rsidRDefault="00310D6C" w:rsidP="00E75AC5">
      <w:r>
        <w:t>As noted earlier, the i</w:t>
      </w:r>
      <w:r w:rsidR="00E75AC5" w:rsidRPr="00E75AC5">
        <w:t>ntangible costs</w:t>
      </w:r>
      <w:r>
        <w:t xml:space="preserve"> of crime</w:t>
      </w:r>
      <w:r w:rsidR="00E75AC5" w:rsidRPr="00E75AC5">
        <w:t>, such as emotional distress and loss of quality of life, are excluded from th</w:t>
      </w:r>
      <w:r w:rsidR="00E75AC5">
        <w:t>is iteration of Tyler’s Story</w:t>
      </w:r>
      <w:r w:rsidR="00EE37BB">
        <w:t>. This is largely</w:t>
      </w:r>
      <w:r w:rsidR="00E75AC5" w:rsidRPr="00E75AC5">
        <w:t xml:space="preserve"> due to the challenges in accurately measuring these subjective elements. The inconsistency in estimates and the complexity they add to the analysis can lead to unreliable results. By focusing on tangible costs, the report ensures</w:t>
      </w:r>
      <w:r w:rsidR="006F7285">
        <w:t xml:space="preserve"> more</w:t>
      </w:r>
      <w:r w:rsidR="00E75AC5" w:rsidRPr="00E75AC5">
        <w:t xml:space="preserve"> clarity and actionable insights for policymaker</w:t>
      </w:r>
      <w:r w:rsidR="00F47B16">
        <w:t>s</w:t>
      </w:r>
      <w:r w:rsidR="00E75AC5" w:rsidRPr="00E75AC5">
        <w:t>.</w:t>
      </w:r>
    </w:p>
    <w:p w14:paraId="58BEB0C9" w14:textId="77777777" w:rsidR="00CD5DC0" w:rsidRDefault="00CD5DC0" w:rsidP="00CD5DC0">
      <w:pPr>
        <w:pStyle w:val="Heading2"/>
      </w:pPr>
      <w:bookmarkStart w:id="19" w:name="_Toc189579951"/>
      <w:bookmarkStart w:id="20" w:name="_Toc201674482"/>
      <w:r>
        <w:t>Conclusion</w:t>
      </w:r>
      <w:bookmarkEnd w:id="19"/>
      <w:bookmarkEnd w:id="20"/>
    </w:p>
    <w:p w14:paraId="2690F5AC" w14:textId="7C1251AB" w:rsidR="00CD5DC0" w:rsidRDefault="00CD5DC0" w:rsidP="00CD5DC0">
      <w:r w:rsidRPr="000662C2">
        <w:t xml:space="preserve">In summary, this methodological companion document provides detailed insights into the guiding frameworks, key assumptions, and calculations that inform Tyler’s Story. </w:t>
      </w:r>
      <w:r w:rsidR="00EE37BB" w:rsidRPr="00EE37BB">
        <w:t xml:space="preserve">By </w:t>
      </w:r>
      <w:r w:rsidR="00567328">
        <w:t>further examining</w:t>
      </w:r>
      <w:r w:rsidR="00EE37BB" w:rsidRPr="00EE37BB">
        <w:t xml:space="preserve"> the </w:t>
      </w:r>
      <w:r w:rsidR="00567328">
        <w:rPr>
          <w:rFonts w:cs="Arial"/>
          <w:lang w:val="en-CA" w:eastAsia="en-CA"/>
        </w:rPr>
        <w:t>inter-relatedness</w:t>
      </w:r>
      <w:r w:rsidR="00EE37BB" w:rsidRPr="00EE37BB">
        <w:t xml:space="preserve"> of </w:t>
      </w:r>
      <w:r w:rsidR="005843C7">
        <w:t xml:space="preserve">developmental and criminogenic </w:t>
      </w:r>
      <w:r w:rsidR="00EE37BB" w:rsidRPr="00EE37BB">
        <w:t xml:space="preserve">risk factors in </w:t>
      </w:r>
      <w:r w:rsidR="005843C7">
        <w:t xml:space="preserve">the onset of </w:t>
      </w:r>
      <w:r w:rsidR="00EE37BB" w:rsidRPr="00EE37BB">
        <w:t>criminal behavio</w:t>
      </w:r>
      <w:r w:rsidR="004534FB">
        <w:t>u</w:t>
      </w:r>
      <w:r w:rsidR="00EE37BB" w:rsidRPr="00EE37BB">
        <w:t xml:space="preserve">r and treatment, this companion enhances the reader’s understanding of </w:t>
      </w:r>
      <w:r w:rsidR="00567328">
        <w:t>“why” and “how”</w:t>
      </w:r>
      <w:r w:rsidR="00EE37BB" w:rsidRPr="00EE37BB">
        <w:t xml:space="preserve"> </w:t>
      </w:r>
      <w:r w:rsidR="00567328">
        <w:t xml:space="preserve">youth in Canada may become </w:t>
      </w:r>
      <w:r w:rsidR="00EE37BB" w:rsidRPr="00EE37BB">
        <w:t>justice-involved. Additionally, by elaborating on the cost of crime analysis, it highlights the financial implications of criminal behavio</w:t>
      </w:r>
      <w:r w:rsidR="004534FB">
        <w:t>u</w:t>
      </w:r>
      <w:r w:rsidR="00EE37BB" w:rsidRPr="00EE37BB">
        <w:t>r overall.</w:t>
      </w:r>
      <w:r w:rsidR="00EE37BB">
        <w:t xml:space="preserve"> </w:t>
      </w:r>
      <w:r>
        <w:t>This companion document, and the Tyler’s Story report,</w:t>
      </w:r>
      <w:r w:rsidRPr="000662C2">
        <w:t xml:space="preserve"> </w:t>
      </w:r>
      <w:r>
        <w:t xml:space="preserve">contributes to the larger </w:t>
      </w:r>
      <w:r w:rsidR="006F7285">
        <w:t>conversation about the value of</w:t>
      </w:r>
      <w:r w:rsidRPr="000662C2">
        <w:t xml:space="preserve"> </w:t>
      </w:r>
      <w:r>
        <w:t>investments</w:t>
      </w:r>
      <w:r w:rsidRPr="000662C2">
        <w:t xml:space="preserve"> in early and effective crime prevention programs for at-risk youth.</w:t>
      </w:r>
    </w:p>
    <w:p w14:paraId="222D9B7B" w14:textId="77777777" w:rsidR="00CD5DC0" w:rsidRDefault="00CD5DC0" w:rsidP="00CD5DC0">
      <w:pPr>
        <w:spacing w:after="160" w:line="259" w:lineRule="auto"/>
        <w:rPr>
          <w:rFonts w:ascii="Aptos Display" w:eastAsiaTheme="majorEastAsia" w:hAnsi="Aptos Display" w:cstheme="majorBidi"/>
          <w:sz w:val="40"/>
          <w:szCs w:val="26"/>
        </w:rPr>
      </w:pPr>
      <w:bookmarkStart w:id="21" w:name="_Toc189579952"/>
      <w:r>
        <w:br w:type="page"/>
      </w:r>
    </w:p>
    <w:p w14:paraId="4AB288E9" w14:textId="210DBC0A" w:rsidR="00CD5DC0" w:rsidRDefault="00CD5DC0" w:rsidP="00CD5DC0">
      <w:pPr>
        <w:pStyle w:val="Heading2"/>
      </w:pPr>
      <w:bookmarkStart w:id="22" w:name="_Toc201674483"/>
      <w:r>
        <w:t>Annex A: Cost Estimates</w:t>
      </w:r>
      <w:bookmarkEnd w:id="22"/>
      <w:r>
        <w:t xml:space="preserve"> </w:t>
      </w:r>
      <w:bookmarkEnd w:id="21"/>
    </w:p>
    <w:p w14:paraId="3E3B3A92" w14:textId="613E7429" w:rsidR="00CD5DC0" w:rsidRPr="00E25AA6" w:rsidRDefault="00CD5DC0" w:rsidP="00CD5DC0">
      <w:pPr>
        <w:pStyle w:val="Caption"/>
        <w:keepNext/>
        <w:rPr>
          <w:sz w:val="24"/>
          <w:szCs w:val="24"/>
        </w:rPr>
      </w:pPr>
      <w:r w:rsidRPr="00E25AA6">
        <w:rPr>
          <w:sz w:val="24"/>
          <w:szCs w:val="24"/>
        </w:rPr>
        <w:t xml:space="preserve">Table </w:t>
      </w:r>
      <w:r w:rsidRPr="00E25AA6">
        <w:rPr>
          <w:sz w:val="24"/>
          <w:szCs w:val="24"/>
        </w:rPr>
        <w:fldChar w:fldCharType="begin"/>
      </w:r>
      <w:r w:rsidRPr="00E25AA6">
        <w:rPr>
          <w:sz w:val="24"/>
          <w:szCs w:val="24"/>
        </w:rPr>
        <w:instrText xml:space="preserve"> SEQ Table \* ARABIC </w:instrText>
      </w:r>
      <w:r w:rsidRPr="00E25AA6">
        <w:rPr>
          <w:sz w:val="24"/>
          <w:szCs w:val="24"/>
        </w:rPr>
        <w:fldChar w:fldCharType="separate"/>
      </w:r>
      <w:r w:rsidR="00D762F5">
        <w:rPr>
          <w:noProof/>
          <w:sz w:val="24"/>
          <w:szCs w:val="24"/>
        </w:rPr>
        <w:t>1</w:t>
      </w:r>
      <w:r w:rsidRPr="00E25AA6">
        <w:rPr>
          <w:sz w:val="24"/>
          <w:szCs w:val="24"/>
        </w:rPr>
        <w:fldChar w:fldCharType="end"/>
      </w:r>
      <w:r w:rsidRPr="00E25AA6">
        <w:rPr>
          <w:sz w:val="24"/>
          <w:szCs w:val="24"/>
        </w:rPr>
        <w:t>: Costing line items for 0</w:t>
      </w:r>
      <w:r w:rsidR="00ED6DD6">
        <w:rPr>
          <w:sz w:val="24"/>
          <w:szCs w:val="24"/>
        </w:rPr>
        <w:t xml:space="preserve"> to </w:t>
      </w:r>
      <w:r w:rsidRPr="00E25AA6">
        <w:rPr>
          <w:sz w:val="24"/>
          <w:szCs w:val="24"/>
        </w:rPr>
        <w:t>2 years</w:t>
      </w:r>
    </w:p>
    <w:tbl>
      <w:tblPr>
        <w:tblStyle w:val="RD"/>
        <w:tblW w:w="0" w:type="auto"/>
        <w:tblLook w:val="04A0" w:firstRow="1" w:lastRow="0" w:firstColumn="1" w:lastColumn="0" w:noHBand="0" w:noVBand="1"/>
      </w:tblPr>
      <w:tblGrid>
        <w:gridCol w:w="5935"/>
        <w:gridCol w:w="3415"/>
      </w:tblGrid>
      <w:tr w:rsidR="00CD5DC0" w:rsidRPr="00ED6DD6" w14:paraId="0927B8D9" w14:textId="77777777" w:rsidTr="00ED6D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14:paraId="0142CA69" w14:textId="4DC87B76" w:rsidR="00CD5DC0" w:rsidRPr="00ED6DD6" w:rsidRDefault="00D17AA3" w:rsidP="007314DE">
            <w:pPr>
              <w:spacing w:after="0" w:line="240" w:lineRule="auto"/>
              <w:rPr>
                <w:sz w:val="24"/>
                <w:szCs w:val="24"/>
              </w:rPr>
            </w:pPr>
            <w:bookmarkStart w:id="23" w:name="_Hlk201322269"/>
            <w:r w:rsidRPr="00ED6DD6">
              <w:rPr>
                <w:sz w:val="24"/>
                <w:szCs w:val="24"/>
              </w:rPr>
              <w:t>Line Item</w:t>
            </w:r>
          </w:p>
        </w:tc>
        <w:tc>
          <w:tcPr>
            <w:tcW w:w="3415" w:type="dxa"/>
          </w:tcPr>
          <w:p w14:paraId="7A5BC9AD" w14:textId="77777777" w:rsidR="00CD5DC0" w:rsidRPr="00ED6DD6" w:rsidRDefault="00CD5DC0" w:rsidP="00C36E2F">
            <w:pPr>
              <w:spacing w:after="0" w:line="240" w:lineRule="auto"/>
              <w:cnfStyle w:val="100000000000" w:firstRow="1" w:lastRow="0" w:firstColumn="0" w:lastColumn="0" w:oddVBand="0" w:evenVBand="0" w:oddHBand="0" w:evenHBand="0" w:firstRowFirstColumn="0" w:firstRowLastColumn="0" w:lastRowFirstColumn="0" w:lastRowLastColumn="0"/>
              <w:rPr>
                <w:sz w:val="24"/>
                <w:szCs w:val="24"/>
              </w:rPr>
            </w:pPr>
            <w:r w:rsidRPr="00ED6DD6">
              <w:rPr>
                <w:sz w:val="24"/>
                <w:szCs w:val="24"/>
              </w:rPr>
              <w:t>Total Calculated Cost</w:t>
            </w:r>
          </w:p>
          <w:p w14:paraId="2E54E025" w14:textId="0893EE7B" w:rsidR="00CD5DC0" w:rsidRPr="00ED6DD6" w:rsidRDefault="00CD5DC0" w:rsidP="00C36E2F">
            <w:pPr>
              <w:spacing w:after="0" w:line="240" w:lineRule="auto"/>
              <w:cnfStyle w:val="100000000000" w:firstRow="1" w:lastRow="0" w:firstColumn="0" w:lastColumn="0" w:oddVBand="0" w:evenVBand="0" w:oddHBand="0" w:evenHBand="0" w:firstRowFirstColumn="0" w:firstRowLastColumn="0" w:lastRowFirstColumn="0" w:lastRowLastColumn="0"/>
              <w:rPr>
                <w:sz w:val="24"/>
                <w:szCs w:val="24"/>
              </w:rPr>
            </w:pPr>
            <w:r w:rsidRPr="00ED6DD6">
              <w:rPr>
                <w:sz w:val="24"/>
                <w:szCs w:val="24"/>
              </w:rPr>
              <w:t>(in 202</w:t>
            </w:r>
            <w:r w:rsidR="009B7D74" w:rsidRPr="00ED6DD6">
              <w:rPr>
                <w:sz w:val="24"/>
                <w:szCs w:val="24"/>
              </w:rPr>
              <w:t>5</w:t>
            </w:r>
            <w:r w:rsidRPr="00ED6DD6">
              <w:rPr>
                <w:sz w:val="24"/>
                <w:szCs w:val="24"/>
              </w:rPr>
              <w:t xml:space="preserve"> Canadian Dollars)</w:t>
            </w:r>
          </w:p>
        </w:tc>
      </w:tr>
      <w:tr w:rsidR="00CD5DC0" w:rsidRPr="00ED6DD6" w14:paraId="6CF05458" w14:textId="77777777" w:rsidTr="00ED6DD6">
        <w:tc>
          <w:tcPr>
            <w:cnfStyle w:val="001000000000" w:firstRow="0" w:lastRow="0" w:firstColumn="1" w:lastColumn="0" w:oddVBand="0" w:evenVBand="0" w:oddHBand="0" w:evenHBand="0" w:firstRowFirstColumn="0" w:firstRowLastColumn="0" w:lastRowFirstColumn="0" w:lastRowLastColumn="0"/>
            <w:tcW w:w="5935" w:type="dxa"/>
          </w:tcPr>
          <w:p w14:paraId="53EB024C" w14:textId="129FBF70" w:rsidR="00234758" w:rsidRPr="00ED6DD6" w:rsidRDefault="00234758" w:rsidP="007314DE">
            <w:pPr>
              <w:spacing w:after="0" w:line="240" w:lineRule="auto"/>
              <w:rPr>
                <w:sz w:val="24"/>
                <w:szCs w:val="24"/>
              </w:rPr>
            </w:pPr>
            <w:r w:rsidRPr="00ED6DD6">
              <w:rPr>
                <w:sz w:val="24"/>
                <w:szCs w:val="24"/>
              </w:rPr>
              <w:t>Police Call for Service</w:t>
            </w:r>
          </w:p>
        </w:tc>
        <w:tc>
          <w:tcPr>
            <w:tcW w:w="3415" w:type="dxa"/>
          </w:tcPr>
          <w:p w14:paraId="79C3F08D" w14:textId="595A9F92" w:rsidR="00CD5DC0" w:rsidRPr="00ED6DD6" w:rsidRDefault="00234758"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D6DD6">
              <w:rPr>
                <w:sz w:val="24"/>
                <w:szCs w:val="24"/>
                <w:lang w:eastAsia="en-CA"/>
              </w:rPr>
              <w:t>$</w:t>
            </w:r>
            <w:r w:rsidR="009B7D74" w:rsidRPr="00ED6DD6">
              <w:rPr>
                <w:sz w:val="24"/>
                <w:szCs w:val="24"/>
                <w:lang w:eastAsia="en-CA"/>
              </w:rPr>
              <w:t>17</w:t>
            </w:r>
            <w:r w:rsidR="000C141F">
              <w:rPr>
                <w:sz w:val="24"/>
                <w:szCs w:val="24"/>
                <w:lang w:eastAsia="en-CA"/>
              </w:rPr>
              <w:t>6</w:t>
            </w:r>
          </w:p>
        </w:tc>
      </w:tr>
      <w:tr w:rsidR="00CD5DC0" w:rsidRPr="00ED6DD6" w14:paraId="4C82E64A" w14:textId="77777777" w:rsidTr="00ED6DD6">
        <w:tc>
          <w:tcPr>
            <w:cnfStyle w:val="001000000000" w:firstRow="0" w:lastRow="0" w:firstColumn="1" w:lastColumn="0" w:oddVBand="0" w:evenVBand="0" w:oddHBand="0" w:evenHBand="0" w:firstRowFirstColumn="0" w:firstRowLastColumn="0" w:lastRowFirstColumn="0" w:lastRowLastColumn="0"/>
            <w:tcW w:w="5935" w:type="dxa"/>
          </w:tcPr>
          <w:p w14:paraId="5AE0AF60" w14:textId="7A01A2F2" w:rsidR="00234758" w:rsidRPr="00ED6DD6" w:rsidRDefault="00234758" w:rsidP="007314DE">
            <w:pPr>
              <w:spacing w:after="0" w:line="240" w:lineRule="auto"/>
              <w:rPr>
                <w:sz w:val="24"/>
                <w:szCs w:val="24"/>
              </w:rPr>
            </w:pPr>
            <w:r w:rsidRPr="00ED6DD6">
              <w:rPr>
                <w:sz w:val="24"/>
                <w:szCs w:val="24"/>
              </w:rPr>
              <w:t>Child and Family Services Investigation</w:t>
            </w:r>
          </w:p>
        </w:tc>
        <w:tc>
          <w:tcPr>
            <w:tcW w:w="3415" w:type="dxa"/>
          </w:tcPr>
          <w:p w14:paraId="78B4D601" w14:textId="04A892DD" w:rsidR="00CD5DC0" w:rsidRPr="00ED6DD6" w:rsidRDefault="00234758"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D6DD6">
              <w:rPr>
                <w:sz w:val="24"/>
                <w:szCs w:val="24"/>
                <w:lang w:eastAsia="en-CA"/>
              </w:rPr>
              <w:t>$</w:t>
            </w:r>
            <w:r w:rsidR="009B7D74" w:rsidRPr="00ED6DD6">
              <w:rPr>
                <w:sz w:val="24"/>
                <w:szCs w:val="24"/>
                <w:lang w:eastAsia="en-CA"/>
              </w:rPr>
              <w:t>7,809</w:t>
            </w:r>
          </w:p>
        </w:tc>
      </w:tr>
      <w:tr w:rsidR="00CD5DC0" w:rsidRPr="00ED6DD6" w14:paraId="6F3802E0" w14:textId="77777777" w:rsidTr="00ED6DD6">
        <w:tc>
          <w:tcPr>
            <w:cnfStyle w:val="001000000000" w:firstRow="0" w:lastRow="0" w:firstColumn="1" w:lastColumn="0" w:oddVBand="0" w:evenVBand="0" w:oddHBand="0" w:evenHBand="0" w:firstRowFirstColumn="0" w:firstRowLastColumn="0" w:lastRowFirstColumn="0" w:lastRowLastColumn="0"/>
            <w:tcW w:w="5935" w:type="dxa"/>
          </w:tcPr>
          <w:p w14:paraId="54C97D86" w14:textId="06DECAF4" w:rsidR="00234758" w:rsidRPr="00ED6DD6" w:rsidRDefault="00234758" w:rsidP="007314DE">
            <w:pPr>
              <w:spacing w:after="0" w:line="240" w:lineRule="auto"/>
              <w:rPr>
                <w:sz w:val="24"/>
                <w:szCs w:val="24"/>
              </w:rPr>
            </w:pPr>
            <w:r w:rsidRPr="00ED6DD6">
              <w:rPr>
                <w:sz w:val="24"/>
                <w:szCs w:val="24"/>
              </w:rPr>
              <w:t>Child Services Home Visits</w:t>
            </w:r>
          </w:p>
        </w:tc>
        <w:tc>
          <w:tcPr>
            <w:tcW w:w="3415" w:type="dxa"/>
          </w:tcPr>
          <w:p w14:paraId="50E152F3" w14:textId="5216CE33" w:rsidR="00CD5DC0" w:rsidRPr="00ED6DD6" w:rsidRDefault="00234758"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D6DD6">
              <w:rPr>
                <w:sz w:val="24"/>
                <w:szCs w:val="24"/>
                <w:lang w:eastAsia="en-CA"/>
              </w:rPr>
              <w:t>$</w:t>
            </w:r>
            <w:r w:rsidR="00412D73" w:rsidRPr="00ED6DD6">
              <w:rPr>
                <w:sz w:val="24"/>
                <w:szCs w:val="24"/>
                <w:lang w:eastAsia="en-CA"/>
              </w:rPr>
              <w:t>5</w:t>
            </w:r>
            <w:r w:rsidR="009B7D74" w:rsidRPr="00ED6DD6">
              <w:rPr>
                <w:sz w:val="24"/>
                <w:szCs w:val="24"/>
                <w:lang w:eastAsia="en-CA"/>
              </w:rPr>
              <w:t>7,65</w:t>
            </w:r>
            <w:r w:rsidR="000C141F">
              <w:rPr>
                <w:sz w:val="24"/>
                <w:szCs w:val="24"/>
                <w:lang w:eastAsia="en-CA"/>
              </w:rPr>
              <w:t>6</w:t>
            </w:r>
          </w:p>
        </w:tc>
      </w:tr>
      <w:tr w:rsidR="00CD5DC0" w:rsidRPr="00ED6DD6" w14:paraId="694FF3C5" w14:textId="77777777" w:rsidTr="00ED6DD6">
        <w:tc>
          <w:tcPr>
            <w:cnfStyle w:val="001000000000" w:firstRow="0" w:lastRow="0" w:firstColumn="1" w:lastColumn="0" w:oddVBand="0" w:evenVBand="0" w:oddHBand="0" w:evenHBand="0" w:firstRowFirstColumn="0" w:firstRowLastColumn="0" w:lastRowFirstColumn="0" w:lastRowLastColumn="0"/>
            <w:tcW w:w="5935" w:type="dxa"/>
          </w:tcPr>
          <w:p w14:paraId="52D339F8" w14:textId="1EFB497E" w:rsidR="00CD5DC0" w:rsidRPr="00ED6DD6" w:rsidRDefault="00D17AA3" w:rsidP="00D17AA3">
            <w:pPr>
              <w:spacing w:after="0" w:line="240" w:lineRule="auto"/>
              <w:jc w:val="right"/>
              <w:rPr>
                <w:b/>
                <w:bCs/>
                <w:sz w:val="24"/>
                <w:szCs w:val="24"/>
              </w:rPr>
            </w:pPr>
            <w:r w:rsidRPr="00ED6DD6">
              <w:rPr>
                <w:b/>
                <w:bCs/>
                <w:sz w:val="24"/>
                <w:szCs w:val="24"/>
              </w:rPr>
              <w:t>Period Total</w:t>
            </w:r>
          </w:p>
        </w:tc>
        <w:tc>
          <w:tcPr>
            <w:tcW w:w="3415" w:type="dxa"/>
          </w:tcPr>
          <w:p w14:paraId="0C63BCD5" w14:textId="4FF150EB" w:rsidR="00CD5DC0" w:rsidRPr="00ED6DD6" w:rsidRDefault="00412D73" w:rsidP="00C36E2F">
            <w:pPr>
              <w:spacing w:after="0" w:line="240" w:lineRule="auto"/>
              <w:cnfStyle w:val="000000000000" w:firstRow="0" w:lastRow="0" w:firstColumn="0" w:lastColumn="0" w:oddVBand="0" w:evenVBand="0" w:oddHBand="0" w:evenHBand="0" w:firstRowFirstColumn="0" w:firstRowLastColumn="0" w:lastRowFirstColumn="0" w:lastRowLastColumn="0"/>
              <w:rPr>
                <w:b/>
                <w:bCs/>
                <w:sz w:val="24"/>
                <w:szCs w:val="24"/>
              </w:rPr>
            </w:pPr>
            <w:r w:rsidRPr="00ED6DD6">
              <w:rPr>
                <w:b/>
                <w:bCs/>
                <w:sz w:val="24"/>
                <w:szCs w:val="24"/>
              </w:rPr>
              <w:t>$6</w:t>
            </w:r>
            <w:r w:rsidR="009B7D74" w:rsidRPr="00ED6DD6">
              <w:rPr>
                <w:b/>
                <w:bCs/>
                <w:sz w:val="24"/>
                <w:szCs w:val="24"/>
              </w:rPr>
              <w:t>5,64</w:t>
            </w:r>
            <w:r w:rsidR="000C141F">
              <w:rPr>
                <w:b/>
                <w:bCs/>
                <w:sz w:val="24"/>
                <w:szCs w:val="24"/>
              </w:rPr>
              <w:t>1</w:t>
            </w:r>
          </w:p>
        </w:tc>
      </w:tr>
      <w:bookmarkEnd w:id="23"/>
    </w:tbl>
    <w:p w14:paraId="3B47B5D7" w14:textId="77777777" w:rsidR="00CD5DC0" w:rsidRPr="00543AC3" w:rsidRDefault="00CD5DC0" w:rsidP="00CD5DC0">
      <w:pPr>
        <w:spacing w:after="0"/>
      </w:pPr>
    </w:p>
    <w:p w14:paraId="4917DAD0" w14:textId="3DD93750" w:rsidR="00CD5DC0" w:rsidRPr="00E25AA6" w:rsidRDefault="00CD5DC0" w:rsidP="00CD5DC0">
      <w:pPr>
        <w:pStyle w:val="Caption"/>
        <w:keepNext/>
        <w:rPr>
          <w:sz w:val="24"/>
          <w:szCs w:val="24"/>
        </w:rPr>
      </w:pPr>
      <w:r w:rsidRPr="00E25AA6">
        <w:rPr>
          <w:sz w:val="24"/>
          <w:szCs w:val="24"/>
        </w:rPr>
        <w:t xml:space="preserve">Table </w:t>
      </w:r>
      <w:r w:rsidRPr="00E25AA6">
        <w:rPr>
          <w:sz w:val="24"/>
          <w:szCs w:val="24"/>
        </w:rPr>
        <w:fldChar w:fldCharType="begin"/>
      </w:r>
      <w:r w:rsidRPr="00E25AA6">
        <w:rPr>
          <w:sz w:val="24"/>
          <w:szCs w:val="24"/>
        </w:rPr>
        <w:instrText xml:space="preserve"> SEQ Table \* ARABIC </w:instrText>
      </w:r>
      <w:r w:rsidRPr="00E25AA6">
        <w:rPr>
          <w:sz w:val="24"/>
          <w:szCs w:val="24"/>
        </w:rPr>
        <w:fldChar w:fldCharType="separate"/>
      </w:r>
      <w:r w:rsidR="00D762F5">
        <w:rPr>
          <w:noProof/>
          <w:sz w:val="24"/>
          <w:szCs w:val="24"/>
        </w:rPr>
        <w:t>2</w:t>
      </w:r>
      <w:r w:rsidRPr="00E25AA6">
        <w:rPr>
          <w:sz w:val="24"/>
          <w:szCs w:val="24"/>
        </w:rPr>
        <w:fldChar w:fldCharType="end"/>
      </w:r>
      <w:r w:rsidRPr="00E25AA6">
        <w:rPr>
          <w:sz w:val="24"/>
          <w:szCs w:val="24"/>
        </w:rPr>
        <w:t>: Costing line items for 3</w:t>
      </w:r>
      <w:r w:rsidR="00ED6DD6">
        <w:rPr>
          <w:sz w:val="24"/>
          <w:szCs w:val="24"/>
        </w:rPr>
        <w:t xml:space="preserve"> to </w:t>
      </w:r>
      <w:r w:rsidRPr="00E25AA6">
        <w:rPr>
          <w:sz w:val="24"/>
          <w:szCs w:val="24"/>
        </w:rPr>
        <w:t>5 years</w:t>
      </w:r>
    </w:p>
    <w:tbl>
      <w:tblPr>
        <w:tblStyle w:val="RD"/>
        <w:tblW w:w="0" w:type="auto"/>
        <w:tblLook w:val="04A0" w:firstRow="1" w:lastRow="0" w:firstColumn="1" w:lastColumn="0" w:noHBand="0" w:noVBand="1"/>
      </w:tblPr>
      <w:tblGrid>
        <w:gridCol w:w="5935"/>
        <w:gridCol w:w="3415"/>
      </w:tblGrid>
      <w:tr w:rsidR="00CD5DC0" w:rsidRPr="00ED6DD6" w14:paraId="21DF3A04" w14:textId="77777777" w:rsidTr="00ED6D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14:paraId="33323202" w14:textId="59FC929A" w:rsidR="00CD5DC0" w:rsidRPr="00ED6DD6" w:rsidRDefault="00D17AA3" w:rsidP="007314DE">
            <w:pPr>
              <w:spacing w:after="0" w:line="240" w:lineRule="auto"/>
              <w:rPr>
                <w:sz w:val="24"/>
                <w:szCs w:val="24"/>
              </w:rPr>
            </w:pPr>
            <w:r w:rsidRPr="00ED6DD6">
              <w:rPr>
                <w:sz w:val="24"/>
                <w:szCs w:val="24"/>
              </w:rPr>
              <w:t>Line Item</w:t>
            </w:r>
          </w:p>
        </w:tc>
        <w:tc>
          <w:tcPr>
            <w:tcW w:w="3415" w:type="dxa"/>
          </w:tcPr>
          <w:p w14:paraId="27B54567" w14:textId="77777777" w:rsidR="00CD5DC0" w:rsidRPr="00ED6DD6" w:rsidRDefault="00CD5DC0" w:rsidP="00C36E2F">
            <w:pPr>
              <w:spacing w:after="0" w:line="240" w:lineRule="auto"/>
              <w:cnfStyle w:val="100000000000" w:firstRow="1" w:lastRow="0" w:firstColumn="0" w:lastColumn="0" w:oddVBand="0" w:evenVBand="0" w:oddHBand="0" w:evenHBand="0" w:firstRowFirstColumn="0" w:firstRowLastColumn="0" w:lastRowFirstColumn="0" w:lastRowLastColumn="0"/>
              <w:rPr>
                <w:sz w:val="24"/>
                <w:szCs w:val="24"/>
              </w:rPr>
            </w:pPr>
            <w:r w:rsidRPr="00ED6DD6">
              <w:rPr>
                <w:sz w:val="24"/>
                <w:szCs w:val="24"/>
              </w:rPr>
              <w:t>Total Calculated Cost</w:t>
            </w:r>
          </w:p>
          <w:p w14:paraId="70344F9D" w14:textId="27101235" w:rsidR="00CD5DC0" w:rsidRPr="00ED6DD6" w:rsidRDefault="00CD5DC0" w:rsidP="00C36E2F">
            <w:pPr>
              <w:spacing w:after="0" w:line="240" w:lineRule="auto"/>
              <w:cnfStyle w:val="100000000000" w:firstRow="1" w:lastRow="0" w:firstColumn="0" w:lastColumn="0" w:oddVBand="0" w:evenVBand="0" w:oddHBand="0" w:evenHBand="0" w:firstRowFirstColumn="0" w:firstRowLastColumn="0" w:lastRowFirstColumn="0" w:lastRowLastColumn="0"/>
              <w:rPr>
                <w:sz w:val="24"/>
                <w:szCs w:val="24"/>
              </w:rPr>
            </w:pPr>
            <w:r w:rsidRPr="00ED6DD6">
              <w:rPr>
                <w:sz w:val="24"/>
                <w:szCs w:val="24"/>
              </w:rPr>
              <w:t>(in 202</w:t>
            </w:r>
            <w:r w:rsidR="009B7D74" w:rsidRPr="00ED6DD6">
              <w:rPr>
                <w:sz w:val="24"/>
                <w:szCs w:val="24"/>
              </w:rPr>
              <w:t>5</w:t>
            </w:r>
            <w:r w:rsidRPr="00ED6DD6">
              <w:rPr>
                <w:sz w:val="24"/>
                <w:szCs w:val="24"/>
              </w:rPr>
              <w:t xml:space="preserve"> Canadian Dollars)</w:t>
            </w:r>
          </w:p>
        </w:tc>
      </w:tr>
      <w:tr w:rsidR="00CD5DC0" w:rsidRPr="00ED6DD6" w14:paraId="376B162F" w14:textId="77777777" w:rsidTr="00ED6DD6">
        <w:tc>
          <w:tcPr>
            <w:cnfStyle w:val="001000000000" w:firstRow="0" w:lastRow="0" w:firstColumn="1" w:lastColumn="0" w:oddVBand="0" w:evenVBand="0" w:oddHBand="0" w:evenHBand="0" w:firstRowFirstColumn="0" w:firstRowLastColumn="0" w:lastRowFirstColumn="0" w:lastRowLastColumn="0"/>
            <w:tcW w:w="5935" w:type="dxa"/>
          </w:tcPr>
          <w:p w14:paraId="0BC16839" w14:textId="1A1C7C8F" w:rsidR="00234758" w:rsidRPr="00ED6DD6" w:rsidRDefault="00234758" w:rsidP="007314DE">
            <w:pPr>
              <w:spacing w:after="0" w:line="240" w:lineRule="auto"/>
              <w:rPr>
                <w:sz w:val="24"/>
                <w:szCs w:val="24"/>
              </w:rPr>
            </w:pPr>
            <w:r w:rsidRPr="00ED6DD6">
              <w:rPr>
                <w:sz w:val="24"/>
                <w:szCs w:val="24"/>
              </w:rPr>
              <w:t>Emergency Room Visit</w:t>
            </w:r>
          </w:p>
        </w:tc>
        <w:tc>
          <w:tcPr>
            <w:tcW w:w="3415" w:type="dxa"/>
          </w:tcPr>
          <w:p w14:paraId="15C81219" w14:textId="77BA31C4" w:rsidR="00CD5DC0" w:rsidRPr="00ED6DD6" w:rsidRDefault="00234758"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D6DD6">
              <w:rPr>
                <w:sz w:val="24"/>
                <w:szCs w:val="24"/>
                <w:lang w:eastAsia="en-CA"/>
              </w:rPr>
              <w:t>$1,</w:t>
            </w:r>
            <w:r w:rsidR="009B7D74" w:rsidRPr="00ED6DD6">
              <w:rPr>
                <w:sz w:val="24"/>
                <w:szCs w:val="24"/>
                <w:lang w:eastAsia="en-CA"/>
              </w:rPr>
              <w:t>083</w:t>
            </w:r>
          </w:p>
        </w:tc>
      </w:tr>
      <w:tr w:rsidR="00234758" w:rsidRPr="00ED6DD6" w14:paraId="466407BD" w14:textId="77777777" w:rsidTr="00ED6DD6">
        <w:tc>
          <w:tcPr>
            <w:cnfStyle w:val="001000000000" w:firstRow="0" w:lastRow="0" w:firstColumn="1" w:lastColumn="0" w:oddVBand="0" w:evenVBand="0" w:oddHBand="0" w:evenHBand="0" w:firstRowFirstColumn="0" w:firstRowLastColumn="0" w:lastRowFirstColumn="0" w:lastRowLastColumn="0"/>
            <w:tcW w:w="5935" w:type="dxa"/>
          </w:tcPr>
          <w:p w14:paraId="223EDF65" w14:textId="0BB93E01" w:rsidR="00234758" w:rsidRPr="00ED6DD6" w:rsidRDefault="00234758" w:rsidP="00234758">
            <w:pPr>
              <w:spacing w:after="0" w:line="240" w:lineRule="auto"/>
              <w:rPr>
                <w:sz w:val="24"/>
                <w:szCs w:val="24"/>
              </w:rPr>
            </w:pPr>
            <w:r w:rsidRPr="00ED6DD6">
              <w:rPr>
                <w:sz w:val="24"/>
                <w:szCs w:val="24"/>
              </w:rPr>
              <w:t>Child and Family Services Investigation</w:t>
            </w:r>
          </w:p>
        </w:tc>
        <w:tc>
          <w:tcPr>
            <w:tcW w:w="3415" w:type="dxa"/>
          </w:tcPr>
          <w:p w14:paraId="610CE2C2" w14:textId="3D1429B5" w:rsidR="00234758" w:rsidRPr="00ED6DD6" w:rsidRDefault="00234758"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D6DD6">
              <w:rPr>
                <w:sz w:val="24"/>
                <w:szCs w:val="24"/>
                <w:lang w:eastAsia="en-CA"/>
              </w:rPr>
              <w:t>$</w:t>
            </w:r>
            <w:r w:rsidR="009B7D74" w:rsidRPr="00ED6DD6">
              <w:rPr>
                <w:sz w:val="24"/>
                <w:szCs w:val="24"/>
                <w:lang w:eastAsia="en-CA"/>
              </w:rPr>
              <w:t>7,809</w:t>
            </w:r>
          </w:p>
        </w:tc>
      </w:tr>
      <w:tr w:rsidR="00234758" w:rsidRPr="00ED6DD6" w14:paraId="1A7D970A" w14:textId="77777777" w:rsidTr="00ED6DD6">
        <w:tc>
          <w:tcPr>
            <w:cnfStyle w:val="001000000000" w:firstRow="0" w:lastRow="0" w:firstColumn="1" w:lastColumn="0" w:oddVBand="0" w:evenVBand="0" w:oddHBand="0" w:evenHBand="0" w:firstRowFirstColumn="0" w:firstRowLastColumn="0" w:lastRowFirstColumn="0" w:lastRowLastColumn="0"/>
            <w:tcW w:w="5935" w:type="dxa"/>
          </w:tcPr>
          <w:p w14:paraId="0689C0A5" w14:textId="3453CFA7" w:rsidR="00234758" w:rsidRPr="00ED6DD6" w:rsidRDefault="00234758" w:rsidP="00234758">
            <w:pPr>
              <w:spacing w:after="0" w:line="240" w:lineRule="auto"/>
              <w:rPr>
                <w:sz w:val="24"/>
                <w:szCs w:val="24"/>
              </w:rPr>
            </w:pPr>
            <w:r w:rsidRPr="00ED6DD6">
              <w:rPr>
                <w:sz w:val="24"/>
                <w:szCs w:val="24"/>
              </w:rPr>
              <w:t>Child Custody Hearing</w:t>
            </w:r>
            <w:r w:rsidR="00347320" w:rsidRPr="00ED6DD6">
              <w:rPr>
                <w:sz w:val="24"/>
                <w:szCs w:val="24"/>
              </w:rPr>
              <w:t xml:space="preserve"> ($14,558.09 for a duration of 5 days) </w:t>
            </w:r>
          </w:p>
        </w:tc>
        <w:tc>
          <w:tcPr>
            <w:tcW w:w="3415" w:type="dxa"/>
          </w:tcPr>
          <w:p w14:paraId="6DB02B64" w14:textId="4990E82F" w:rsidR="00234758" w:rsidRPr="00ED6DD6" w:rsidRDefault="00234758"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D6DD6">
              <w:rPr>
                <w:sz w:val="24"/>
                <w:szCs w:val="24"/>
                <w:lang w:eastAsia="en-CA"/>
              </w:rPr>
              <w:t>$</w:t>
            </w:r>
            <w:r w:rsidR="009B7D74" w:rsidRPr="00ED6DD6">
              <w:rPr>
                <w:sz w:val="24"/>
                <w:szCs w:val="24"/>
                <w:lang w:eastAsia="en-CA"/>
              </w:rPr>
              <w:t>72,790</w:t>
            </w:r>
          </w:p>
        </w:tc>
      </w:tr>
      <w:tr w:rsidR="00234758" w:rsidRPr="00ED6DD6" w14:paraId="359F22FB" w14:textId="77777777" w:rsidTr="00ED6DD6">
        <w:tc>
          <w:tcPr>
            <w:cnfStyle w:val="001000000000" w:firstRow="0" w:lastRow="0" w:firstColumn="1" w:lastColumn="0" w:oddVBand="0" w:evenVBand="0" w:oddHBand="0" w:evenHBand="0" w:firstRowFirstColumn="0" w:firstRowLastColumn="0" w:lastRowFirstColumn="0" w:lastRowLastColumn="0"/>
            <w:tcW w:w="5935" w:type="dxa"/>
          </w:tcPr>
          <w:p w14:paraId="5F1809E9" w14:textId="16411C47" w:rsidR="00234758" w:rsidRPr="00ED6DD6" w:rsidRDefault="00234758" w:rsidP="00234758">
            <w:pPr>
              <w:spacing w:after="0" w:line="240" w:lineRule="auto"/>
              <w:rPr>
                <w:sz w:val="24"/>
                <w:szCs w:val="24"/>
              </w:rPr>
            </w:pPr>
            <w:r w:rsidRPr="00ED6DD6">
              <w:rPr>
                <w:sz w:val="24"/>
                <w:szCs w:val="24"/>
              </w:rPr>
              <w:t>Foster Care</w:t>
            </w:r>
            <w:r w:rsidR="009B7D74" w:rsidRPr="00ED6DD6">
              <w:rPr>
                <w:sz w:val="24"/>
                <w:szCs w:val="24"/>
              </w:rPr>
              <w:t xml:space="preserve"> </w:t>
            </w:r>
            <w:r w:rsidR="009B7D74" w:rsidRPr="00ED6DD6">
              <w:rPr>
                <w:sz w:val="24"/>
                <w:szCs w:val="24"/>
                <w:lang w:eastAsia="en-CA"/>
              </w:rPr>
              <w:t>($1,530.57 per month for children under the age of 11)</w:t>
            </w:r>
          </w:p>
        </w:tc>
        <w:tc>
          <w:tcPr>
            <w:tcW w:w="3415" w:type="dxa"/>
          </w:tcPr>
          <w:p w14:paraId="38412116" w14:textId="57282E56" w:rsidR="00234758" w:rsidRPr="00ED6DD6" w:rsidRDefault="00D17AA3"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D6DD6">
              <w:rPr>
                <w:sz w:val="24"/>
                <w:szCs w:val="24"/>
              </w:rPr>
              <w:t>$</w:t>
            </w:r>
            <w:r w:rsidR="002244BA" w:rsidRPr="00ED6DD6">
              <w:rPr>
                <w:sz w:val="24"/>
                <w:szCs w:val="24"/>
              </w:rPr>
              <w:t>1</w:t>
            </w:r>
            <w:r w:rsidR="00B358DF" w:rsidRPr="00ED6DD6">
              <w:rPr>
                <w:sz w:val="24"/>
                <w:szCs w:val="24"/>
              </w:rPr>
              <w:t>2,</w:t>
            </w:r>
            <w:r w:rsidR="009B7D74" w:rsidRPr="00ED6DD6">
              <w:rPr>
                <w:sz w:val="24"/>
                <w:szCs w:val="24"/>
              </w:rPr>
              <w:t>24</w:t>
            </w:r>
            <w:r w:rsidR="000C141F">
              <w:rPr>
                <w:sz w:val="24"/>
                <w:szCs w:val="24"/>
              </w:rPr>
              <w:t>5</w:t>
            </w:r>
          </w:p>
        </w:tc>
      </w:tr>
      <w:tr w:rsidR="00D17AA3" w:rsidRPr="00ED6DD6" w14:paraId="6DA6F22A" w14:textId="77777777" w:rsidTr="00ED6DD6">
        <w:tc>
          <w:tcPr>
            <w:cnfStyle w:val="001000000000" w:firstRow="0" w:lastRow="0" w:firstColumn="1" w:lastColumn="0" w:oddVBand="0" w:evenVBand="0" w:oddHBand="0" w:evenHBand="0" w:firstRowFirstColumn="0" w:firstRowLastColumn="0" w:lastRowFirstColumn="0" w:lastRowLastColumn="0"/>
            <w:tcW w:w="5935" w:type="dxa"/>
          </w:tcPr>
          <w:p w14:paraId="350DD6CB" w14:textId="4D8DC890" w:rsidR="00D17AA3" w:rsidRPr="00ED6DD6" w:rsidRDefault="00D17AA3" w:rsidP="00D17AA3">
            <w:pPr>
              <w:spacing w:after="0" w:line="240" w:lineRule="auto"/>
              <w:jc w:val="right"/>
              <w:rPr>
                <w:sz w:val="24"/>
                <w:szCs w:val="24"/>
              </w:rPr>
            </w:pPr>
            <w:r w:rsidRPr="00ED6DD6">
              <w:rPr>
                <w:b/>
                <w:bCs/>
                <w:sz w:val="24"/>
                <w:szCs w:val="24"/>
              </w:rPr>
              <w:t>Period Total</w:t>
            </w:r>
          </w:p>
        </w:tc>
        <w:tc>
          <w:tcPr>
            <w:tcW w:w="3415" w:type="dxa"/>
          </w:tcPr>
          <w:p w14:paraId="6EF5FAE4" w14:textId="73B9438E" w:rsidR="00D17AA3" w:rsidRPr="00ED6DD6" w:rsidRDefault="002244BA" w:rsidP="00C36E2F">
            <w:pPr>
              <w:spacing w:after="0" w:line="240" w:lineRule="auto"/>
              <w:cnfStyle w:val="000000000000" w:firstRow="0" w:lastRow="0" w:firstColumn="0" w:lastColumn="0" w:oddVBand="0" w:evenVBand="0" w:oddHBand="0" w:evenHBand="0" w:firstRowFirstColumn="0" w:firstRowLastColumn="0" w:lastRowFirstColumn="0" w:lastRowLastColumn="0"/>
              <w:rPr>
                <w:b/>
                <w:bCs/>
                <w:sz w:val="24"/>
                <w:szCs w:val="24"/>
              </w:rPr>
            </w:pPr>
            <w:r w:rsidRPr="00ED6DD6">
              <w:rPr>
                <w:b/>
                <w:bCs/>
                <w:sz w:val="24"/>
                <w:szCs w:val="24"/>
              </w:rPr>
              <w:t>$</w:t>
            </w:r>
            <w:r w:rsidR="00381686" w:rsidRPr="00ED6DD6">
              <w:rPr>
                <w:b/>
                <w:bCs/>
                <w:sz w:val="24"/>
                <w:szCs w:val="24"/>
              </w:rPr>
              <w:t>93,</w:t>
            </w:r>
            <w:r w:rsidR="009B7D74" w:rsidRPr="00ED6DD6">
              <w:rPr>
                <w:b/>
                <w:bCs/>
                <w:sz w:val="24"/>
                <w:szCs w:val="24"/>
              </w:rPr>
              <w:t>92</w:t>
            </w:r>
            <w:r w:rsidR="0089587E">
              <w:rPr>
                <w:b/>
                <w:bCs/>
                <w:sz w:val="24"/>
                <w:szCs w:val="24"/>
              </w:rPr>
              <w:t>7</w:t>
            </w:r>
          </w:p>
        </w:tc>
      </w:tr>
    </w:tbl>
    <w:p w14:paraId="38A5207B" w14:textId="77777777" w:rsidR="00CD5DC0" w:rsidRPr="00543AC3" w:rsidRDefault="00CD5DC0" w:rsidP="00CD5DC0">
      <w:pPr>
        <w:spacing w:after="0"/>
      </w:pPr>
    </w:p>
    <w:p w14:paraId="31DBE5D4" w14:textId="28A3E8E8" w:rsidR="00CD5DC0" w:rsidRPr="00E25AA6" w:rsidRDefault="00CD5DC0" w:rsidP="00CD5DC0">
      <w:pPr>
        <w:pStyle w:val="Caption"/>
        <w:keepNext/>
        <w:rPr>
          <w:sz w:val="24"/>
          <w:szCs w:val="24"/>
        </w:rPr>
      </w:pPr>
      <w:r w:rsidRPr="00E25AA6">
        <w:rPr>
          <w:sz w:val="24"/>
          <w:szCs w:val="24"/>
        </w:rPr>
        <w:t xml:space="preserve">Table </w:t>
      </w:r>
      <w:r w:rsidRPr="00E25AA6">
        <w:rPr>
          <w:sz w:val="24"/>
          <w:szCs w:val="24"/>
        </w:rPr>
        <w:fldChar w:fldCharType="begin"/>
      </w:r>
      <w:r w:rsidRPr="00E25AA6">
        <w:rPr>
          <w:sz w:val="24"/>
          <w:szCs w:val="24"/>
        </w:rPr>
        <w:instrText xml:space="preserve"> SEQ Table \* ARABIC </w:instrText>
      </w:r>
      <w:r w:rsidRPr="00E25AA6">
        <w:rPr>
          <w:sz w:val="24"/>
          <w:szCs w:val="24"/>
        </w:rPr>
        <w:fldChar w:fldCharType="separate"/>
      </w:r>
      <w:r w:rsidR="00D762F5">
        <w:rPr>
          <w:noProof/>
          <w:sz w:val="24"/>
          <w:szCs w:val="24"/>
        </w:rPr>
        <w:t>3</w:t>
      </w:r>
      <w:r w:rsidRPr="00E25AA6">
        <w:rPr>
          <w:sz w:val="24"/>
          <w:szCs w:val="24"/>
        </w:rPr>
        <w:fldChar w:fldCharType="end"/>
      </w:r>
      <w:r w:rsidRPr="00E25AA6">
        <w:rPr>
          <w:sz w:val="24"/>
          <w:szCs w:val="24"/>
        </w:rPr>
        <w:t>: Costing line items for 6</w:t>
      </w:r>
      <w:r w:rsidR="00ED6DD6">
        <w:rPr>
          <w:sz w:val="24"/>
          <w:szCs w:val="24"/>
        </w:rPr>
        <w:t xml:space="preserve"> to </w:t>
      </w:r>
      <w:r w:rsidRPr="00E25AA6">
        <w:rPr>
          <w:sz w:val="24"/>
          <w:szCs w:val="24"/>
        </w:rPr>
        <w:t>10 years</w:t>
      </w:r>
    </w:p>
    <w:tbl>
      <w:tblPr>
        <w:tblStyle w:val="RD"/>
        <w:tblW w:w="0" w:type="auto"/>
        <w:tblLook w:val="04A0" w:firstRow="1" w:lastRow="0" w:firstColumn="1" w:lastColumn="0" w:noHBand="0" w:noVBand="1"/>
      </w:tblPr>
      <w:tblGrid>
        <w:gridCol w:w="5935"/>
        <w:gridCol w:w="3415"/>
      </w:tblGrid>
      <w:tr w:rsidR="00CD5DC0" w:rsidRPr="00ED6DD6" w14:paraId="448CC4D0" w14:textId="77777777" w:rsidTr="00ED6D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14:paraId="5C0CB302" w14:textId="14815D3A" w:rsidR="00CD5DC0" w:rsidRPr="00ED6DD6" w:rsidRDefault="00D17AA3" w:rsidP="007314DE">
            <w:pPr>
              <w:spacing w:after="0" w:line="240" w:lineRule="auto"/>
              <w:rPr>
                <w:sz w:val="24"/>
                <w:szCs w:val="24"/>
              </w:rPr>
            </w:pPr>
            <w:r w:rsidRPr="00ED6DD6">
              <w:rPr>
                <w:sz w:val="24"/>
                <w:szCs w:val="24"/>
              </w:rPr>
              <w:t>Line Item</w:t>
            </w:r>
          </w:p>
        </w:tc>
        <w:tc>
          <w:tcPr>
            <w:tcW w:w="3415" w:type="dxa"/>
          </w:tcPr>
          <w:p w14:paraId="6E3C2805" w14:textId="77777777" w:rsidR="00CD5DC0" w:rsidRPr="00ED6DD6" w:rsidRDefault="00CD5DC0" w:rsidP="00C36E2F">
            <w:pPr>
              <w:spacing w:after="0" w:line="240" w:lineRule="auto"/>
              <w:cnfStyle w:val="100000000000" w:firstRow="1" w:lastRow="0" w:firstColumn="0" w:lastColumn="0" w:oddVBand="0" w:evenVBand="0" w:oddHBand="0" w:evenHBand="0" w:firstRowFirstColumn="0" w:firstRowLastColumn="0" w:lastRowFirstColumn="0" w:lastRowLastColumn="0"/>
              <w:rPr>
                <w:sz w:val="24"/>
                <w:szCs w:val="24"/>
              </w:rPr>
            </w:pPr>
            <w:r w:rsidRPr="00ED6DD6">
              <w:rPr>
                <w:sz w:val="24"/>
                <w:szCs w:val="24"/>
              </w:rPr>
              <w:t>Total Calculated Cost</w:t>
            </w:r>
          </w:p>
          <w:p w14:paraId="14D82EEC" w14:textId="230E02B9" w:rsidR="00CD5DC0" w:rsidRPr="00ED6DD6" w:rsidRDefault="00CD5DC0" w:rsidP="00C36E2F">
            <w:pPr>
              <w:spacing w:after="0" w:line="240" w:lineRule="auto"/>
              <w:cnfStyle w:val="100000000000" w:firstRow="1" w:lastRow="0" w:firstColumn="0" w:lastColumn="0" w:oddVBand="0" w:evenVBand="0" w:oddHBand="0" w:evenHBand="0" w:firstRowFirstColumn="0" w:firstRowLastColumn="0" w:lastRowFirstColumn="0" w:lastRowLastColumn="0"/>
              <w:rPr>
                <w:sz w:val="24"/>
                <w:szCs w:val="24"/>
              </w:rPr>
            </w:pPr>
            <w:r w:rsidRPr="00ED6DD6">
              <w:rPr>
                <w:sz w:val="24"/>
                <w:szCs w:val="24"/>
              </w:rPr>
              <w:t>(in 202</w:t>
            </w:r>
            <w:r w:rsidR="009B7D74" w:rsidRPr="00ED6DD6">
              <w:rPr>
                <w:sz w:val="24"/>
                <w:szCs w:val="24"/>
              </w:rPr>
              <w:t>5</w:t>
            </w:r>
            <w:r w:rsidRPr="00ED6DD6">
              <w:rPr>
                <w:sz w:val="24"/>
                <w:szCs w:val="24"/>
              </w:rPr>
              <w:t xml:space="preserve"> Canadian Dollars)</w:t>
            </w:r>
          </w:p>
        </w:tc>
      </w:tr>
      <w:tr w:rsidR="009B7D74" w:rsidRPr="00ED6DD6" w14:paraId="649922B2" w14:textId="77777777" w:rsidTr="00ED6DD6">
        <w:tc>
          <w:tcPr>
            <w:cnfStyle w:val="001000000000" w:firstRow="0" w:lastRow="0" w:firstColumn="1" w:lastColumn="0" w:oddVBand="0" w:evenVBand="0" w:oddHBand="0" w:evenHBand="0" w:firstRowFirstColumn="0" w:firstRowLastColumn="0" w:lastRowFirstColumn="0" w:lastRowLastColumn="0"/>
            <w:tcW w:w="5935" w:type="dxa"/>
          </w:tcPr>
          <w:p w14:paraId="3E312952" w14:textId="7B92BDC2" w:rsidR="009B7D74" w:rsidRPr="00ED6DD6" w:rsidRDefault="00347320" w:rsidP="007314DE">
            <w:pPr>
              <w:spacing w:after="0" w:line="240" w:lineRule="auto"/>
              <w:rPr>
                <w:sz w:val="24"/>
                <w:szCs w:val="24"/>
              </w:rPr>
            </w:pPr>
            <w:r w:rsidRPr="00ED6DD6">
              <w:rPr>
                <w:sz w:val="24"/>
                <w:szCs w:val="24"/>
              </w:rPr>
              <w:t>Parenting Classes</w:t>
            </w:r>
          </w:p>
        </w:tc>
        <w:tc>
          <w:tcPr>
            <w:tcW w:w="3415" w:type="dxa"/>
          </w:tcPr>
          <w:p w14:paraId="7F0B03AE" w14:textId="31586E86" w:rsidR="009B7D74" w:rsidRPr="00ED6DD6" w:rsidRDefault="00347320"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lang w:eastAsia="en-CA"/>
              </w:rPr>
            </w:pPr>
            <w:r w:rsidRPr="00ED6DD6">
              <w:rPr>
                <w:sz w:val="24"/>
                <w:szCs w:val="24"/>
                <w:lang w:eastAsia="en-CA"/>
              </w:rPr>
              <w:t>$3,198</w:t>
            </w:r>
          </w:p>
        </w:tc>
      </w:tr>
      <w:tr w:rsidR="009B7D74" w:rsidRPr="00ED6DD6" w14:paraId="076F9ACD" w14:textId="77777777" w:rsidTr="00ED6DD6">
        <w:tc>
          <w:tcPr>
            <w:cnfStyle w:val="001000000000" w:firstRow="0" w:lastRow="0" w:firstColumn="1" w:lastColumn="0" w:oddVBand="0" w:evenVBand="0" w:oddHBand="0" w:evenHBand="0" w:firstRowFirstColumn="0" w:firstRowLastColumn="0" w:lastRowFirstColumn="0" w:lastRowLastColumn="0"/>
            <w:tcW w:w="5935" w:type="dxa"/>
          </w:tcPr>
          <w:p w14:paraId="4005064D" w14:textId="0BCE49D3" w:rsidR="009B7D74" w:rsidRPr="00ED6DD6" w:rsidRDefault="00347320" w:rsidP="007314DE">
            <w:pPr>
              <w:spacing w:after="0" w:line="240" w:lineRule="auto"/>
              <w:rPr>
                <w:sz w:val="24"/>
                <w:szCs w:val="24"/>
              </w:rPr>
            </w:pPr>
            <w:r w:rsidRPr="00ED6DD6">
              <w:rPr>
                <w:sz w:val="24"/>
                <w:szCs w:val="24"/>
              </w:rPr>
              <w:t>Supervised Access ($30.00 per visit, 2 times per week for 8 weeks)</w:t>
            </w:r>
          </w:p>
        </w:tc>
        <w:tc>
          <w:tcPr>
            <w:tcW w:w="3415" w:type="dxa"/>
          </w:tcPr>
          <w:p w14:paraId="1BCFA167" w14:textId="2894E006" w:rsidR="009B7D74" w:rsidRPr="00ED6DD6" w:rsidRDefault="00347320"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lang w:eastAsia="en-CA"/>
              </w:rPr>
            </w:pPr>
            <w:r w:rsidRPr="00ED6DD6">
              <w:rPr>
                <w:sz w:val="24"/>
                <w:szCs w:val="24"/>
                <w:lang w:eastAsia="en-CA"/>
              </w:rPr>
              <w:t>$480</w:t>
            </w:r>
          </w:p>
        </w:tc>
      </w:tr>
      <w:tr w:rsidR="009B7D74" w:rsidRPr="00ED6DD6" w14:paraId="23AD4BE0" w14:textId="77777777" w:rsidTr="0020242D">
        <w:tc>
          <w:tcPr>
            <w:cnfStyle w:val="001000000000" w:firstRow="0" w:lastRow="0" w:firstColumn="1" w:lastColumn="0" w:oddVBand="0" w:evenVBand="0" w:oddHBand="0" w:evenHBand="0" w:firstRowFirstColumn="0" w:firstRowLastColumn="0" w:lastRowFirstColumn="0" w:lastRowLastColumn="0"/>
            <w:tcW w:w="5935" w:type="dxa"/>
          </w:tcPr>
          <w:p w14:paraId="3C95359D" w14:textId="6901BDDC" w:rsidR="009B7D74" w:rsidRPr="00ED6DD6" w:rsidRDefault="00347320" w:rsidP="007314DE">
            <w:pPr>
              <w:spacing w:after="0" w:line="240" w:lineRule="auto"/>
              <w:rPr>
                <w:sz w:val="24"/>
                <w:szCs w:val="24"/>
              </w:rPr>
            </w:pPr>
            <w:r w:rsidRPr="00ED6DD6">
              <w:rPr>
                <w:sz w:val="24"/>
                <w:szCs w:val="24"/>
              </w:rPr>
              <w:t>Child Services Home Visits/Ongoing Casework ($57,655.85 per year for 2 years)</w:t>
            </w:r>
          </w:p>
        </w:tc>
        <w:tc>
          <w:tcPr>
            <w:tcW w:w="3415" w:type="dxa"/>
            <w:tcBorders>
              <w:bottom w:val="single" w:sz="8" w:space="0" w:color="467C81" w:themeColor="accent3"/>
            </w:tcBorders>
          </w:tcPr>
          <w:p w14:paraId="4336AD90" w14:textId="5F2C58DC" w:rsidR="009B7D74" w:rsidRPr="00ED6DD6" w:rsidRDefault="00347320"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lang w:eastAsia="en-CA"/>
              </w:rPr>
            </w:pPr>
            <w:r w:rsidRPr="00ED6DD6">
              <w:rPr>
                <w:sz w:val="24"/>
                <w:szCs w:val="24"/>
                <w:lang w:eastAsia="en-CA"/>
              </w:rPr>
              <w:t>$115,31</w:t>
            </w:r>
            <w:r w:rsidR="000C141F">
              <w:rPr>
                <w:sz w:val="24"/>
                <w:szCs w:val="24"/>
                <w:lang w:eastAsia="en-CA"/>
              </w:rPr>
              <w:t>2</w:t>
            </w:r>
          </w:p>
        </w:tc>
      </w:tr>
      <w:tr w:rsidR="00CD5DC0" w:rsidRPr="00ED6DD6" w14:paraId="7887492A" w14:textId="77777777" w:rsidTr="0020242D">
        <w:tc>
          <w:tcPr>
            <w:cnfStyle w:val="001000000000" w:firstRow="0" w:lastRow="0" w:firstColumn="1" w:lastColumn="0" w:oddVBand="0" w:evenVBand="0" w:oddHBand="0" w:evenHBand="0" w:firstRowFirstColumn="0" w:firstRowLastColumn="0" w:lastRowFirstColumn="0" w:lastRowLastColumn="0"/>
            <w:tcW w:w="5935" w:type="dxa"/>
          </w:tcPr>
          <w:p w14:paraId="6767386D" w14:textId="6B8B4A32" w:rsidR="00D17AA3" w:rsidRPr="00ED6DD6" w:rsidRDefault="00347320" w:rsidP="007314DE">
            <w:pPr>
              <w:spacing w:after="0" w:line="240" w:lineRule="auto"/>
              <w:rPr>
                <w:sz w:val="24"/>
                <w:szCs w:val="24"/>
              </w:rPr>
            </w:pPr>
            <w:r w:rsidRPr="00ED6DD6">
              <w:rPr>
                <w:sz w:val="24"/>
                <w:szCs w:val="24"/>
              </w:rPr>
              <w:t xml:space="preserve">Psychoeducational </w:t>
            </w:r>
            <w:r w:rsidR="00D17AA3" w:rsidRPr="00ED6DD6">
              <w:rPr>
                <w:sz w:val="24"/>
                <w:szCs w:val="24"/>
              </w:rPr>
              <w:t>Assessment</w:t>
            </w:r>
          </w:p>
        </w:tc>
        <w:tc>
          <w:tcPr>
            <w:tcW w:w="3415" w:type="dxa"/>
            <w:tcBorders>
              <w:bottom w:val="single" w:sz="8" w:space="0" w:color="467C81" w:themeColor="accent3"/>
            </w:tcBorders>
          </w:tcPr>
          <w:p w14:paraId="7DEC97C5" w14:textId="4359CE1B" w:rsidR="00CD5DC0" w:rsidRPr="00ED6DD6" w:rsidRDefault="00D17AA3"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D6DD6">
              <w:rPr>
                <w:sz w:val="24"/>
                <w:szCs w:val="24"/>
                <w:lang w:eastAsia="en-CA"/>
              </w:rPr>
              <w:t>$4,4</w:t>
            </w:r>
            <w:r w:rsidR="00347320" w:rsidRPr="00ED6DD6">
              <w:rPr>
                <w:sz w:val="24"/>
                <w:szCs w:val="24"/>
                <w:lang w:eastAsia="en-CA"/>
              </w:rPr>
              <w:t>97</w:t>
            </w:r>
          </w:p>
        </w:tc>
      </w:tr>
      <w:tr w:rsidR="00CD5DC0" w:rsidRPr="00ED6DD6" w14:paraId="63E73785" w14:textId="77777777" w:rsidTr="0020242D">
        <w:tc>
          <w:tcPr>
            <w:cnfStyle w:val="001000000000" w:firstRow="0" w:lastRow="0" w:firstColumn="1" w:lastColumn="0" w:oddVBand="0" w:evenVBand="0" w:oddHBand="0" w:evenHBand="0" w:firstRowFirstColumn="0" w:firstRowLastColumn="0" w:lastRowFirstColumn="0" w:lastRowLastColumn="0"/>
            <w:tcW w:w="5935" w:type="dxa"/>
          </w:tcPr>
          <w:p w14:paraId="790EBFF9" w14:textId="1C9526A8" w:rsidR="00CD5DC0" w:rsidRPr="00ED6DD6" w:rsidRDefault="00D17AA3" w:rsidP="007314DE">
            <w:pPr>
              <w:spacing w:after="0" w:line="240" w:lineRule="auto"/>
              <w:rPr>
                <w:sz w:val="24"/>
                <w:szCs w:val="24"/>
              </w:rPr>
            </w:pPr>
            <w:r w:rsidRPr="00ED6DD6">
              <w:rPr>
                <w:sz w:val="24"/>
                <w:szCs w:val="24"/>
              </w:rPr>
              <w:t>Individual Education Plan</w:t>
            </w:r>
            <w:r w:rsidR="00347320" w:rsidRPr="00ED6DD6">
              <w:rPr>
                <w:sz w:val="24"/>
                <w:szCs w:val="24"/>
              </w:rPr>
              <w:t xml:space="preserve"> ($6,189.16 per year for 3 years)</w:t>
            </w:r>
          </w:p>
        </w:tc>
        <w:tc>
          <w:tcPr>
            <w:tcW w:w="3415" w:type="dxa"/>
            <w:tcBorders>
              <w:top w:val="single" w:sz="8" w:space="0" w:color="467C81" w:themeColor="accent3"/>
            </w:tcBorders>
          </w:tcPr>
          <w:p w14:paraId="45E7AD11" w14:textId="6744C802" w:rsidR="00CD5DC0" w:rsidRPr="00ED6DD6" w:rsidRDefault="00D17AA3"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D6DD6">
              <w:rPr>
                <w:sz w:val="24"/>
                <w:szCs w:val="24"/>
                <w:lang w:eastAsia="en-CA"/>
              </w:rPr>
              <w:t>$</w:t>
            </w:r>
            <w:r w:rsidR="00347320" w:rsidRPr="00ED6DD6">
              <w:rPr>
                <w:sz w:val="24"/>
                <w:szCs w:val="24"/>
                <w:lang w:eastAsia="en-CA"/>
              </w:rPr>
              <w:t>18,567</w:t>
            </w:r>
          </w:p>
        </w:tc>
      </w:tr>
      <w:tr w:rsidR="00CD5DC0" w:rsidRPr="00ED6DD6" w14:paraId="1DC29A17" w14:textId="77777777" w:rsidTr="00ED6DD6">
        <w:tc>
          <w:tcPr>
            <w:cnfStyle w:val="001000000000" w:firstRow="0" w:lastRow="0" w:firstColumn="1" w:lastColumn="0" w:oddVBand="0" w:evenVBand="0" w:oddHBand="0" w:evenHBand="0" w:firstRowFirstColumn="0" w:firstRowLastColumn="0" w:lastRowFirstColumn="0" w:lastRowLastColumn="0"/>
            <w:tcW w:w="5935" w:type="dxa"/>
          </w:tcPr>
          <w:p w14:paraId="3C3B086D" w14:textId="77777777" w:rsidR="00CD5DC0" w:rsidRPr="00ED6DD6" w:rsidRDefault="00CD5DC0" w:rsidP="00D17AA3">
            <w:pPr>
              <w:spacing w:after="0" w:line="240" w:lineRule="auto"/>
              <w:jc w:val="right"/>
              <w:rPr>
                <w:b/>
                <w:bCs/>
                <w:sz w:val="24"/>
                <w:szCs w:val="24"/>
              </w:rPr>
            </w:pPr>
            <w:r w:rsidRPr="00ED6DD6">
              <w:rPr>
                <w:b/>
                <w:bCs/>
                <w:sz w:val="24"/>
                <w:szCs w:val="24"/>
              </w:rPr>
              <w:t>Period Total</w:t>
            </w:r>
          </w:p>
        </w:tc>
        <w:tc>
          <w:tcPr>
            <w:tcW w:w="3415" w:type="dxa"/>
          </w:tcPr>
          <w:p w14:paraId="3FBF0228" w14:textId="54B9EBA3" w:rsidR="00CD5DC0" w:rsidRPr="00ED6DD6" w:rsidRDefault="002244BA" w:rsidP="00C36E2F">
            <w:pPr>
              <w:spacing w:after="0" w:line="240" w:lineRule="auto"/>
              <w:cnfStyle w:val="000000000000" w:firstRow="0" w:lastRow="0" w:firstColumn="0" w:lastColumn="0" w:oddVBand="0" w:evenVBand="0" w:oddHBand="0" w:evenHBand="0" w:firstRowFirstColumn="0" w:firstRowLastColumn="0" w:lastRowFirstColumn="0" w:lastRowLastColumn="0"/>
              <w:rPr>
                <w:b/>
                <w:bCs/>
                <w:sz w:val="24"/>
                <w:szCs w:val="24"/>
              </w:rPr>
            </w:pPr>
            <w:r w:rsidRPr="00ED6DD6">
              <w:rPr>
                <w:b/>
                <w:bCs/>
                <w:sz w:val="24"/>
                <w:szCs w:val="24"/>
              </w:rPr>
              <w:t>$</w:t>
            </w:r>
            <w:r w:rsidR="00347320" w:rsidRPr="00ED6DD6">
              <w:rPr>
                <w:b/>
                <w:bCs/>
                <w:sz w:val="24"/>
                <w:szCs w:val="24"/>
              </w:rPr>
              <w:t>142,054</w:t>
            </w:r>
          </w:p>
        </w:tc>
      </w:tr>
    </w:tbl>
    <w:p w14:paraId="4D9E2ADD" w14:textId="77777777" w:rsidR="00CD5DC0" w:rsidRPr="00543AC3" w:rsidRDefault="00CD5DC0" w:rsidP="00CD5DC0">
      <w:pPr>
        <w:spacing w:after="0"/>
      </w:pPr>
    </w:p>
    <w:p w14:paraId="47DF3734" w14:textId="28198E11" w:rsidR="00CD5DC0" w:rsidRPr="00E25AA6" w:rsidRDefault="00CD5DC0" w:rsidP="00CD5DC0">
      <w:pPr>
        <w:pStyle w:val="Caption"/>
        <w:keepNext/>
        <w:rPr>
          <w:sz w:val="24"/>
          <w:szCs w:val="24"/>
        </w:rPr>
      </w:pPr>
      <w:r w:rsidRPr="00E25AA6">
        <w:rPr>
          <w:sz w:val="24"/>
          <w:szCs w:val="24"/>
        </w:rPr>
        <w:t xml:space="preserve">Table </w:t>
      </w:r>
      <w:r w:rsidRPr="00E25AA6">
        <w:rPr>
          <w:sz w:val="24"/>
          <w:szCs w:val="24"/>
        </w:rPr>
        <w:fldChar w:fldCharType="begin"/>
      </w:r>
      <w:r w:rsidRPr="00E25AA6">
        <w:rPr>
          <w:sz w:val="24"/>
          <w:szCs w:val="24"/>
        </w:rPr>
        <w:instrText xml:space="preserve"> SEQ Table \* ARABIC </w:instrText>
      </w:r>
      <w:r w:rsidRPr="00E25AA6">
        <w:rPr>
          <w:sz w:val="24"/>
          <w:szCs w:val="24"/>
        </w:rPr>
        <w:fldChar w:fldCharType="separate"/>
      </w:r>
      <w:r w:rsidR="00D762F5">
        <w:rPr>
          <w:noProof/>
          <w:sz w:val="24"/>
          <w:szCs w:val="24"/>
        </w:rPr>
        <w:t>4</w:t>
      </w:r>
      <w:r w:rsidRPr="00E25AA6">
        <w:rPr>
          <w:sz w:val="24"/>
          <w:szCs w:val="24"/>
        </w:rPr>
        <w:fldChar w:fldCharType="end"/>
      </w:r>
      <w:r w:rsidRPr="00E25AA6">
        <w:rPr>
          <w:sz w:val="24"/>
          <w:szCs w:val="24"/>
        </w:rPr>
        <w:t>: Costing line items for 11</w:t>
      </w:r>
      <w:r w:rsidR="00ED6DD6">
        <w:rPr>
          <w:sz w:val="24"/>
          <w:szCs w:val="24"/>
        </w:rPr>
        <w:t xml:space="preserve"> to </w:t>
      </w:r>
      <w:r w:rsidRPr="00E25AA6">
        <w:rPr>
          <w:sz w:val="24"/>
          <w:szCs w:val="24"/>
        </w:rPr>
        <w:t>14 years</w:t>
      </w:r>
    </w:p>
    <w:tbl>
      <w:tblPr>
        <w:tblStyle w:val="RD"/>
        <w:tblW w:w="0" w:type="auto"/>
        <w:tblLook w:val="04A0" w:firstRow="1" w:lastRow="0" w:firstColumn="1" w:lastColumn="0" w:noHBand="0" w:noVBand="1"/>
      </w:tblPr>
      <w:tblGrid>
        <w:gridCol w:w="5935"/>
        <w:gridCol w:w="3415"/>
      </w:tblGrid>
      <w:tr w:rsidR="00CD5DC0" w:rsidRPr="00ED6DD6" w14:paraId="6F74D36E" w14:textId="77777777" w:rsidTr="00ED6D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14:paraId="59559457" w14:textId="0269D60C" w:rsidR="00CD5DC0" w:rsidRPr="00ED6DD6" w:rsidRDefault="00D17AA3" w:rsidP="007314DE">
            <w:pPr>
              <w:spacing w:after="0" w:line="240" w:lineRule="auto"/>
              <w:rPr>
                <w:sz w:val="24"/>
                <w:szCs w:val="24"/>
              </w:rPr>
            </w:pPr>
            <w:r w:rsidRPr="00ED6DD6">
              <w:rPr>
                <w:sz w:val="24"/>
                <w:szCs w:val="24"/>
              </w:rPr>
              <w:t>Line Item</w:t>
            </w:r>
          </w:p>
        </w:tc>
        <w:tc>
          <w:tcPr>
            <w:tcW w:w="3415" w:type="dxa"/>
          </w:tcPr>
          <w:p w14:paraId="4328AE43" w14:textId="77777777" w:rsidR="00CD5DC0" w:rsidRPr="00ED6DD6" w:rsidRDefault="00CD5DC0" w:rsidP="00C36E2F">
            <w:pPr>
              <w:spacing w:after="0" w:line="240" w:lineRule="auto"/>
              <w:cnfStyle w:val="100000000000" w:firstRow="1" w:lastRow="0" w:firstColumn="0" w:lastColumn="0" w:oddVBand="0" w:evenVBand="0" w:oddHBand="0" w:evenHBand="0" w:firstRowFirstColumn="0" w:firstRowLastColumn="0" w:lastRowFirstColumn="0" w:lastRowLastColumn="0"/>
              <w:rPr>
                <w:sz w:val="24"/>
                <w:szCs w:val="24"/>
              </w:rPr>
            </w:pPr>
            <w:r w:rsidRPr="00ED6DD6">
              <w:rPr>
                <w:sz w:val="24"/>
                <w:szCs w:val="24"/>
              </w:rPr>
              <w:t>Total Calculated Cost</w:t>
            </w:r>
          </w:p>
          <w:p w14:paraId="0AB22652" w14:textId="09BB9C55" w:rsidR="00CD5DC0" w:rsidRPr="00ED6DD6" w:rsidRDefault="00CD5DC0" w:rsidP="00C36E2F">
            <w:pPr>
              <w:spacing w:after="0" w:line="240" w:lineRule="auto"/>
              <w:cnfStyle w:val="100000000000" w:firstRow="1" w:lastRow="0" w:firstColumn="0" w:lastColumn="0" w:oddVBand="0" w:evenVBand="0" w:oddHBand="0" w:evenHBand="0" w:firstRowFirstColumn="0" w:firstRowLastColumn="0" w:lastRowFirstColumn="0" w:lastRowLastColumn="0"/>
              <w:rPr>
                <w:sz w:val="24"/>
                <w:szCs w:val="24"/>
              </w:rPr>
            </w:pPr>
            <w:r w:rsidRPr="00ED6DD6">
              <w:rPr>
                <w:sz w:val="24"/>
                <w:szCs w:val="24"/>
              </w:rPr>
              <w:t>(in 202</w:t>
            </w:r>
            <w:r w:rsidR="00347320" w:rsidRPr="00ED6DD6">
              <w:rPr>
                <w:sz w:val="24"/>
                <w:szCs w:val="24"/>
              </w:rPr>
              <w:t>5</w:t>
            </w:r>
            <w:r w:rsidRPr="00ED6DD6">
              <w:rPr>
                <w:sz w:val="24"/>
                <w:szCs w:val="24"/>
              </w:rPr>
              <w:t xml:space="preserve"> Canadian Dollars)</w:t>
            </w:r>
          </w:p>
        </w:tc>
      </w:tr>
      <w:tr w:rsidR="00347320" w:rsidRPr="00ED6DD6" w14:paraId="1F99B58F" w14:textId="77777777" w:rsidTr="00ED6DD6">
        <w:tc>
          <w:tcPr>
            <w:cnfStyle w:val="001000000000" w:firstRow="0" w:lastRow="0" w:firstColumn="1" w:lastColumn="0" w:oddVBand="0" w:evenVBand="0" w:oddHBand="0" w:evenHBand="0" w:firstRowFirstColumn="0" w:firstRowLastColumn="0" w:lastRowFirstColumn="0" w:lastRowLastColumn="0"/>
            <w:tcW w:w="5935" w:type="dxa"/>
          </w:tcPr>
          <w:p w14:paraId="50309602" w14:textId="21EC0C64" w:rsidR="00347320" w:rsidRPr="00ED6DD6" w:rsidRDefault="00347320" w:rsidP="007314DE">
            <w:pPr>
              <w:spacing w:after="0" w:line="240" w:lineRule="auto"/>
              <w:rPr>
                <w:sz w:val="24"/>
                <w:szCs w:val="24"/>
                <w:lang w:eastAsia="en-CA"/>
              </w:rPr>
            </w:pPr>
            <w:r w:rsidRPr="00ED6DD6">
              <w:rPr>
                <w:sz w:val="24"/>
                <w:szCs w:val="24"/>
              </w:rPr>
              <w:t>Individual Education Plan ($6,189.16 per year for 4 years)</w:t>
            </w:r>
          </w:p>
        </w:tc>
        <w:tc>
          <w:tcPr>
            <w:tcW w:w="3415" w:type="dxa"/>
          </w:tcPr>
          <w:p w14:paraId="72F79846" w14:textId="7B91B02A" w:rsidR="00347320" w:rsidRPr="00ED6DD6" w:rsidRDefault="00347320"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D6DD6">
              <w:rPr>
                <w:sz w:val="24"/>
                <w:szCs w:val="24"/>
              </w:rPr>
              <w:t>$24,75</w:t>
            </w:r>
            <w:r w:rsidR="000C141F">
              <w:rPr>
                <w:sz w:val="24"/>
                <w:szCs w:val="24"/>
              </w:rPr>
              <w:t>7</w:t>
            </w:r>
          </w:p>
        </w:tc>
      </w:tr>
      <w:tr w:rsidR="00347320" w:rsidRPr="00ED6DD6" w14:paraId="61873F09" w14:textId="77777777" w:rsidTr="00ED6DD6">
        <w:tc>
          <w:tcPr>
            <w:cnfStyle w:val="001000000000" w:firstRow="0" w:lastRow="0" w:firstColumn="1" w:lastColumn="0" w:oddVBand="0" w:evenVBand="0" w:oddHBand="0" w:evenHBand="0" w:firstRowFirstColumn="0" w:firstRowLastColumn="0" w:lastRowFirstColumn="0" w:lastRowLastColumn="0"/>
            <w:tcW w:w="5935" w:type="dxa"/>
          </w:tcPr>
          <w:p w14:paraId="2623BF4C" w14:textId="0F5E8F71" w:rsidR="00347320" w:rsidRPr="00ED6DD6" w:rsidRDefault="00347320" w:rsidP="00347320">
            <w:pPr>
              <w:spacing w:after="0" w:line="240" w:lineRule="auto"/>
              <w:rPr>
                <w:sz w:val="24"/>
                <w:szCs w:val="24"/>
                <w:lang w:eastAsia="en-CA"/>
              </w:rPr>
            </w:pPr>
            <w:r w:rsidRPr="00ED6DD6">
              <w:rPr>
                <w:sz w:val="24"/>
                <w:szCs w:val="24"/>
                <w:lang w:eastAsia="en-CA"/>
              </w:rPr>
              <w:t>Police Call for Service</w:t>
            </w:r>
          </w:p>
        </w:tc>
        <w:tc>
          <w:tcPr>
            <w:tcW w:w="3415" w:type="dxa"/>
          </w:tcPr>
          <w:p w14:paraId="446E9642" w14:textId="1F20474D" w:rsidR="00347320" w:rsidRPr="00ED6DD6" w:rsidRDefault="00347320"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D6DD6">
              <w:rPr>
                <w:sz w:val="24"/>
                <w:szCs w:val="24"/>
              </w:rPr>
              <w:t>$17</w:t>
            </w:r>
            <w:r w:rsidR="000C141F">
              <w:rPr>
                <w:sz w:val="24"/>
                <w:szCs w:val="24"/>
              </w:rPr>
              <w:t>6</w:t>
            </w:r>
          </w:p>
        </w:tc>
      </w:tr>
      <w:tr w:rsidR="00347320" w:rsidRPr="00ED6DD6" w14:paraId="1A1BAD4D" w14:textId="77777777" w:rsidTr="00ED6DD6">
        <w:tc>
          <w:tcPr>
            <w:cnfStyle w:val="001000000000" w:firstRow="0" w:lastRow="0" w:firstColumn="1" w:lastColumn="0" w:oddVBand="0" w:evenVBand="0" w:oddHBand="0" w:evenHBand="0" w:firstRowFirstColumn="0" w:firstRowLastColumn="0" w:lastRowFirstColumn="0" w:lastRowLastColumn="0"/>
            <w:tcW w:w="5935" w:type="dxa"/>
          </w:tcPr>
          <w:p w14:paraId="25156CEA" w14:textId="7D37B9E8" w:rsidR="00347320" w:rsidRPr="00ED6DD6" w:rsidRDefault="00347320" w:rsidP="00347320">
            <w:pPr>
              <w:spacing w:after="0" w:line="240" w:lineRule="auto"/>
              <w:rPr>
                <w:sz w:val="24"/>
                <w:szCs w:val="24"/>
                <w:lang w:eastAsia="en-CA"/>
              </w:rPr>
            </w:pPr>
            <w:r w:rsidRPr="00ED6DD6">
              <w:rPr>
                <w:sz w:val="24"/>
                <w:szCs w:val="24"/>
                <w:lang w:eastAsia="en-CA"/>
              </w:rPr>
              <w:t>Arrest of a Juvenile</w:t>
            </w:r>
          </w:p>
        </w:tc>
        <w:tc>
          <w:tcPr>
            <w:tcW w:w="3415" w:type="dxa"/>
          </w:tcPr>
          <w:p w14:paraId="420021C0" w14:textId="345C1B2E" w:rsidR="00347320" w:rsidRPr="00ED6DD6" w:rsidRDefault="00347320"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D6DD6">
              <w:rPr>
                <w:sz w:val="24"/>
                <w:szCs w:val="24"/>
              </w:rPr>
              <w:t>$677</w:t>
            </w:r>
          </w:p>
        </w:tc>
      </w:tr>
      <w:tr w:rsidR="00347320" w:rsidRPr="00ED6DD6" w14:paraId="369CB440" w14:textId="77777777" w:rsidTr="00ED6DD6">
        <w:tc>
          <w:tcPr>
            <w:cnfStyle w:val="001000000000" w:firstRow="0" w:lastRow="0" w:firstColumn="1" w:lastColumn="0" w:oddVBand="0" w:evenVBand="0" w:oddHBand="0" w:evenHBand="0" w:firstRowFirstColumn="0" w:firstRowLastColumn="0" w:lastRowFirstColumn="0" w:lastRowLastColumn="0"/>
            <w:tcW w:w="5935" w:type="dxa"/>
          </w:tcPr>
          <w:p w14:paraId="430B1754" w14:textId="7D6928B7" w:rsidR="00347320" w:rsidRPr="00ED6DD6" w:rsidRDefault="00347320" w:rsidP="00347320">
            <w:pPr>
              <w:spacing w:after="0" w:line="240" w:lineRule="auto"/>
              <w:rPr>
                <w:sz w:val="24"/>
                <w:szCs w:val="24"/>
                <w:lang w:eastAsia="en-CA"/>
              </w:rPr>
            </w:pPr>
            <w:r w:rsidRPr="00ED6DD6">
              <w:rPr>
                <w:sz w:val="24"/>
                <w:szCs w:val="24"/>
                <w:lang w:eastAsia="en-CA"/>
              </w:rPr>
              <w:t>Youth Court Appearance ($1,6</w:t>
            </w:r>
            <w:r w:rsidR="00ED08B9" w:rsidRPr="00ED6DD6">
              <w:rPr>
                <w:sz w:val="24"/>
                <w:szCs w:val="24"/>
                <w:lang w:eastAsia="en-CA"/>
              </w:rPr>
              <w:t>50.83</w:t>
            </w:r>
            <w:r w:rsidRPr="00ED6DD6">
              <w:rPr>
                <w:sz w:val="24"/>
                <w:szCs w:val="24"/>
                <w:lang w:eastAsia="en-CA"/>
              </w:rPr>
              <w:t xml:space="preserve"> per appe</w:t>
            </w:r>
            <w:r w:rsidR="00C15074" w:rsidRPr="00ED6DD6">
              <w:rPr>
                <w:sz w:val="24"/>
                <w:szCs w:val="24"/>
                <w:lang w:eastAsia="en-CA"/>
              </w:rPr>
              <w:t>a</w:t>
            </w:r>
            <w:r w:rsidRPr="00ED6DD6">
              <w:rPr>
                <w:sz w:val="24"/>
                <w:szCs w:val="24"/>
                <w:lang w:eastAsia="en-CA"/>
              </w:rPr>
              <w:t>rance for 2 appearances)</w:t>
            </w:r>
          </w:p>
        </w:tc>
        <w:tc>
          <w:tcPr>
            <w:tcW w:w="3415" w:type="dxa"/>
          </w:tcPr>
          <w:p w14:paraId="1B8ACB0F" w14:textId="4C8B951E" w:rsidR="00347320" w:rsidRPr="00ED6DD6" w:rsidRDefault="00347320"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D6DD6">
              <w:rPr>
                <w:sz w:val="24"/>
                <w:szCs w:val="24"/>
              </w:rPr>
              <w:t>$3,30</w:t>
            </w:r>
            <w:r w:rsidR="000C141F">
              <w:rPr>
                <w:sz w:val="24"/>
                <w:szCs w:val="24"/>
              </w:rPr>
              <w:t>2</w:t>
            </w:r>
          </w:p>
        </w:tc>
      </w:tr>
      <w:tr w:rsidR="00347320" w:rsidRPr="00ED6DD6" w14:paraId="1F54603D" w14:textId="77777777" w:rsidTr="00ED6DD6">
        <w:tc>
          <w:tcPr>
            <w:cnfStyle w:val="001000000000" w:firstRow="0" w:lastRow="0" w:firstColumn="1" w:lastColumn="0" w:oddVBand="0" w:evenVBand="0" w:oddHBand="0" w:evenHBand="0" w:firstRowFirstColumn="0" w:firstRowLastColumn="0" w:lastRowFirstColumn="0" w:lastRowLastColumn="0"/>
            <w:tcW w:w="5935" w:type="dxa"/>
          </w:tcPr>
          <w:p w14:paraId="36C56883" w14:textId="5D4045DA" w:rsidR="00347320" w:rsidRPr="00ED6DD6" w:rsidRDefault="00347320" w:rsidP="00347320">
            <w:pPr>
              <w:spacing w:after="0" w:line="240" w:lineRule="auto"/>
              <w:rPr>
                <w:sz w:val="24"/>
                <w:szCs w:val="24"/>
                <w:lang w:eastAsia="en-CA"/>
              </w:rPr>
            </w:pPr>
            <w:r w:rsidRPr="00ED6DD6">
              <w:rPr>
                <w:sz w:val="24"/>
                <w:szCs w:val="24"/>
                <w:lang w:eastAsia="en-CA"/>
              </w:rPr>
              <w:t>Police Attendance at Court ($443.10 per attendance for 2 attendances)</w:t>
            </w:r>
          </w:p>
        </w:tc>
        <w:tc>
          <w:tcPr>
            <w:tcW w:w="3415" w:type="dxa"/>
          </w:tcPr>
          <w:p w14:paraId="4E4745FA" w14:textId="21E47ED6" w:rsidR="00347320" w:rsidRPr="00ED6DD6" w:rsidRDefault="00347320"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D6DD6">
              <w:rPr>
                <w:sz w:val="24"/>
                <w:szCs w:val="24"/>
              </w:rPr>
              <w:t>$886</w:t>
            </w:r>
          </w:p>
        </w:tc>
      </w:tr>
      <w:tr w:rsidR="00347320" w:rsidRPr="00ED6DD6" w14:paraId="62CF59F9" w14:textId="77777777" w:rsidTr="00ED6DD6">
        <w:tc>
          <w:tcPr>
            <w:cnfStyle w:val="001000000000" w:firstRow="0" w:lastRow="0" w:firstColumn="1" w:lastColumn="0" w:oddVBand="0" w:evenVBand="0" w:oddHBand="0" w:evenHBand="0" w:firstRowFirstColumn="0" w:firstRowLastColumn="0" w:lastRowFirstColumn="0" w:lastRowLastColumn="0"/>
            <w:tcW w:w="5935" w:type="dxa"/>
          </w:tcPr>
          <w:p w14:paraId="6FE01347" w14:textId="04B9D832" w:rsidR="00347320" w:rsidRPr="00ED6DD6" w:rsidRDefault="00347320" w:rsidP="00347320">
            <w:pPr>
              <w:spacing w:after="0" w:line="240" w:lineRule="auto"/>
              <w:rPr>
                <w:sz w:val="24"/>
                <w:szCs w:val="24"/>
              </w:rPr>
            </w:pPr>
            <w:r w:rsidRPr="00ED6DD6">
              <w:rPr>
                <w:sz w:val="24"/>
                <w:szCs w:val="24"/>
                <w:lang w:eastAsia="en-CA"/>
              </w:rPr>
              <w:t>Theft Under $5,000</w:t>
            </w:r>
          </w:p>
        </w:tc>
        <w:tc>
          <w:tcPr>
            <w:tcW w:w="3415" w:type="dxa"/>
          </w:tcPr>
          <w:p w14:paraId="02506F6D" w14:textId="55E29089" w:rsidR="00347320" w:rsidRPr="00ED6DD6" w:rsidRDefault="00347320"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D6DD6">
              <w:rPr>
                <w:sz w:val="24"/>
                <w:szCs w:val="24"/>
              </w:rPr>
              <w:t>$1,542</w:t>
            </w:r>
          </w:p>
        </w:tc>
      </w:tr>
      <w:tr w:rsidR="00347320" w:rsidRPr="00ED6DD6" w14:paraId="32EB9298" w14:textId="77777777" w:rsidTr="00ED6DD6">
        <w:tc>
          <w:tcPr>
            <w:cnfStyle w:val="001000000000" w:firstRow="0" w:lastRow="0" w:firstColumn="1" w:lastColumn="0" w:oddVBand="0" w:evenVBand="0" w:oddHBand="0" w:evenHBand="0" w:firstRowFirstColumn="0" w:firstRowLastColumn="0" w:lastRowFirstColumn="0" w:lastRowLastColumn="0"/>
            <w:tcW w:w="5935" w:type="dxa"/>
          </w:tcPr>
          <w:p w14:paraId="47BB9A33" w14:textId="503AA915" w:rsidR="00347320" w:rsidRPr="00ED6DD6" w:rsidRDefault="00347320" w:rsidP="00347320">
            <w:pPr>
              <w:spacing w:after="0" w:line="240" w:lineRule="auto"/>
              <w:rPr>
                <w:sz w:val="24"/>
                <w:szCs w:val="24"/>
              </w:rPr>
            </w:pPr>
            <w:r w:rsidRPr="00ED6DD6">
              <w:rPr>
                <w:sz w:val="24"/>
                <w:szCs w:val="24"/>
                <w:lang w:eastAsia="en-CA"/>
              </w:rPr>
              <w:t>Damage to Property</w:t>
            </w:r>
          </w:p>
        </w:tc>
        <w:tc>
          <w:tcPr>
            <w:tcW w:w="3415" w:type="dxa"/>
          </w:tcPr>
          <w:p w14:paraId="031760DC" w14:textId="6FCFCBD5" w:rsidR="00347320" w:rsidRPr="00ED6DD6" w:rsidRDefault="00347320"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D6DD6">
              <w:rPr>
                <w:sz w:val="24"/>
                <w:szCs w:val="24"/>
              </w:rPr>
              <w:t>$3,4</w:t>
            </w:r>
            <w:r w:rsidR="000C141F">
              <w:rPr>
                <w:sz w:val="24"/>
                <w:szCs w:val="24"/>
              </w:rPr>
              <w:t>70</w:t>
            </w:r>
          </w:p>
        </w:tc>
      </w:tr>
      <w:tr w:rsidR="00347320" w:rsidRPr="00ED6DD6" w14:paraId="60FBFD1B" w14:textId="77777777" w:rsidTr="00ED6DD6">
        <w:tc>
          <w:tcPr>
            <w:cnfStyle w:val="001000000000" w:firstRow="0" w:lastRow="0" w:firstColumn="1" w:lastColumn="0" w:oddVBand="0" w:evenVBand="0" w:oddHBand="0" w:evenHBand="0" w:firstRowFirstColumn="0" w:firstRowLastColumn="0" w:lastRowFirstColumn="0" w:lastRowLastColumn="0"/>
            <w:tcW w:w="5935" w:type="dxa"/>
          </w:tcPr>
          <w:p w14:paraId="03DF0FA3" w14:textId="2A9572B5" w:rsidR="00347320" w:rsidRPr="00ED6DD6" w:rsidRDefault="00347320" w:rsidP="00347320">
            <w:pPr>
              <w:spacing w:after="0" w:line="240" w:lineRule="auto"/>
              <w:rPr>
                <w:sz w:val="24"/>
                <w:szCs w:val="24"/>
              </w:rPr>
            </w:pPr>
            <w:r w:rsidRPr="00ED6DD6">
              <w:rPr>
                <w:sz w:val="24"/>
                <w:szCs w:val="24"/>
                <w:lang w:eastAsia="en-CA"/>
              </w:rPr>
              <w:t>Probation Supervision ($23.21 per day for 90 days)</w:t>
            </w:r>
          </w:p>
        </w:tc>
        <w:tc>
          <w:tcPr>
            <w:tcW w:w="3415" w:type="dxa"/>
          </w:tcPr>
          <w:p w14:paraId="1F67823C" w14:textId="11CB9215" w:rsidR="00347320" w:rsidRPr="00ED6DD6" w:rsidRDefault="00347320"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D6DD6">
              <w:rPr>
                <w:sz w:val="24"/>
                <w:szCs w:val="24"/>
              </w:rPr>
              <w:t>$2,08</w:t>
            </w:r>
            <w:r w:rsidR="000C141F">
              <w:rPr>
                <w:sz w:val="24"/>
                <w:szCs w:val="24"/>
              </w:rPr>
              <w:t>9</w:t>
            </w:r>
          </w:p>
        </w:tc>
      </w:tr>
      <w:tr w:rsidR="00347320" w:rsidRPr="00ED6DD6" w14:paraId="1F52170F" w14:textId="77777777" w:rsidTr="00ED6DD6">
        <w:tc>
          <w:tcPr>
            <w:cnfStyle w:val="001000000000" w:firstRow="0" w:lastRow="0" w:firstColumn="1" w:lastColumn="0" w:oddVBand="0" w:evenVBand="0" w:oddHBand="0" w:evenHBand="0" w:firstRowFirstColumn="0" w:firstRowLastColumn="0" w:lastRowFirstColumn="0" w:lastRowLastColumn="0"/>
            <w:tcW w:w="5935" w:type="dxa"/>
          </w:tcPr>
          <w:p w14:paraId="63802D14" w14:textId="6C686DFC" w:rsidR="00347320" w:rsidRPr="00ED6DD6" w:rsidRDefault="00347320" w:rsidP="00347320">
            <w:pPr>
              <w:spacing w:after="0" w:line="240" w:lineRule="auto"/>
              <w:rPr>
                <w:sz w:val="24"/>
                <w:szCs w:val="24"/>
              </w:rPr>
            </w:pPr>
            <w:r w:rsidRPr="00ED6DD6">
              <w:rPr>
                <w:sz w:val="24"/>
                <w:szCs w:val="24"/>
                <w:lang w:eastAsia="en-CA"/>
              </w:rPr>
              <w:t>Community Service Supervision (</w:t>
            </w:r>
            <w:r w:rsidR="00C15074" w:rsidRPr="00ED6DD6">
              <w:rPr>
                <w:sz w:val="24"/>
                <w:szCs w:val="24"/>
                <w:lang w:eastAsia="en-CA"/>
              </w:rPr>
              <w:t xml:space="preserve">$114.41 per day for </w:t>
            </w:r>
            <w:r w:rsidRPr="00ED6DD6">
              <w:rPr>
                <w:sz w:val="24"/>
                <w:szCs w:val="24"/>
                <w:lang w:eastAsia="en-CA"/>
              </w:rPr>
              <w:t xml:space="preserve">50 </w:t>
            </w:r>
            <w:r w:rsidR="00C15074" w:rsidRPr="00ED6DD6">
              <w:rPr>
                <w:sz w:val="24"/>
                <w:szCs w:val="24"/>
                <w:lang w:eastAsia="en-CA"/>
              </w:rPr>
              <w:t>h</w:t>
            </w:r>
            <w:r w:rsidRPr="00ED6DD6">
              <w:rPr>
                <w:sz w:val="24"/>
                <w:szCs w:val="24"/>
                <w:lang w:eastAsia="en-CA"/>
              </w:rPr>
              <w:t>ours</w:t>
            </w:r>
            <w:r w:rsidR="00C15074" w:rsidRPr="00ED6DD6">
              <w:rPr>
                <w:sz w:val="24"/>
                <w:szCs w:val="24"/>
                <w:lang w:eastAsia="en-CA"/>
              </w:rPr>
              <w:t xml:space="preserve"> in 6.25 work days of 8 hours in length</w:t>
            </w:r>
          </w:p>
        </w:tc>
        <w:tc>
          <w:tcPr>
            <w:tcW w:w="3415" w:type="dxa"/>
          </w:tcPr>
          <w:p w14:paraId="474E3B9F" w14:textId="49AFF217" w:rsidR="00347320" w:rsidRPr="00ED6DD6" w:rsidRDefault="00347320"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D6DD6">
              <w:rPr>
                <w:sz w:val="24"/>
                <w:szCs w:val="24"/>
              </w:rPr>
              <w:t>$7</w:t>
            </w:r>
            <w:r w:rsidR="00C15074" w:rsidRPr="00ED6DD6">
              <w:rPr>
                <w:sz w:val="24"/>
                <w:szCs w:val="24"/>
              </w:rPr>
              <w:t>15</w:t>
            </w:r>
          </w:p>
        </w:tc>
      </w:tr>
      <w:tr w:rsidR="00347320" w:rsidRPr="00ED6DD6" w14:paraId="1C010284" w14:textId="77777777" w:rsidTr="00ED6DD6">
        <w:tc>
          <w:tcPr>
            <w:cnfStyle w:val="001000000000" w:firstRow="0" w:lastRow="0" w:firstColumn="1" w:lastColumn="0" w:oddVBand="0" w:evenVBand="0" w:oddHBand="0" w:evenHBand="0" w:firstRowFirstColumn="0" w:firstRowLastColumn="0" w:lastRowFirstColumn="0" w:lastRowLastColumn="0"/>
            <w:tcW w:w="5935" w:type="dxa"/>
          </w:tcPr>
          <w:p w14:paraId="38CA2BAB" w14:textId="77777777" w:rsidR="00347320" w:rsidRPr="00ED6DD6" w:rsidRDefault="00347320" w:rsidP="00347320">
            <w:pPr>
              <w:spacing w:after="0" w:line="240" w:lineRule="auto"/>
              <w:jc w:val="right"/>
              <w:rPr>
                <w:b/>
                <w:bCs/>
                <w:sz w:val="24"/>
                <w:szCs w:val="24"/>
              </w:rPr>
            </w:pPr>
            <w:r w:rsidRPr="00ED6DD6">
              <w:rPr>
                <w:b/>
                <w:bCs/>
                <w:sz w:val="24"/>
                <w:szCs w:val="24"/>
              </w:rPr>
              <w:t>Period Total</w:t>
            </w:r>
          </w:p>
        </w:tc>
        <w:tc>
          <w:tcPr>
            <w:tcW w:w="3415" w:type="dxa"/>
          </w:tcPr>
          <w:p w14:paraId="3EFA1B95" w14:textId="020D5618" w:rsidR="00347320" w:rsidRPr="00ED6DD6" w:rsidRDefault="00347320" w:rsidP="00C36E2F">
            <w:pPr>
              <w:spacing w:after="0" w:line="240" w:lineRule="auto"/>
              <w:cnfStyle w:val="000000000000" w:firstRow="0" w:lastRow="0" w:firstColumn="0" w:lastColumn="0" w:oddVBand="0" w:evenVBand="0" w:oddHBand="0" w:evenHBand="0" w:firstRowFirstColumn="0" w:firstRowLastColumn="0" w:lastRowFirstColumn="0" w:lastRowLastColumn="0"/>
              <w:rPr>
                <w:b/>
                <w:bCs/>
                <w:sz w:val="24"/>
                <w:szCs w:val="24"/>
              </w:rPr>
            </w:pPr>
            <w:r w:rsidRPr="00ED6DD6">
              <w:rPr>
                <w:b/>
                <w:bCs/>
                <w:sz w:val="24"/>
                <w:szCs w:val="24"/>
              </w:rPr>
              <w:t>$</w:t>
            </w:r>
            <w:r w:rsidR="00C15074" w:rsidRPr="00ED6DD6">
              <w:rPr>
                <w:b/>
                <w:bCs/>
                <w:sz w:val="24"/>
                <w:szCs w:val="24"/>
              </w:rPr>
              <w:t>37,61</w:t>
            </w:r>
            <w:r w:rsidR="0089587E">
              <w:rPr>
                <w:b/>
                <w:bCs/>
                <w:sz w:val="24"/>
                <w:szCs w:val="24"/>
              </w:rPr>
              <w:t>4</w:t>
            </w:r>
          </w:p>
        </w:tc>
      </w:tr>
    </w:tbl>
    <w:p w14:paraId="3A7E3F57" w14:textId="77777777" w:rsidR="00D17AA3" w:rsidRDefault="00D17AA3" w:rsidP="00CD5DC0">
      <w:pPr>
        <w:pStyle w:val="Caption"/>
        <w:keepNext/>
        <w:rPr>
          <w:sz w:val="24"/>
          <w:szCs w:val="24"/>
        </w:rPr>
      </w:pPr>
    </w:p>
    <w:p w14:paraId="6DCA3E31" w14:textId="4498EC4E" w:rsidR="00CD5DC0" w:rsidRPr="00E25AA6" w:rsidRDefault="00CD5DC0" w:rsidP="00CD5DC0">
      <w:pPr>
        <w:pStyle w:val="Caption"/>
        <w:keepNext/>
        <w:rPr>
          <w:sz w:val="24"/>
          <w:szCs w:val="24"/>
        </w:rPr>
      </w:pPr>
      <w:r w:rsidRPr="00E25AA6">
        <w:rPr>
          <w:sz w:val="24"/>
          <w:szCs w:val="24"/>
        </w:rPr>
        <w:t xml:space="preserve">Table </w:t>
      </w:r>
      <w:r w:rsidRPr="00E25AA6">
        <w:rPr>
          <w:sz w:val="24"/>
          <w:szCs w:val="24"/>
        </w:rPr>
        <w:fldChar w:fldCharType="begin"/>
      </w:r>
      <w:r w:rsidRPr="00E25AA6">
        <w:rPr>
          <w:sz w:val="24"/>
          <w:szCs w:val="24"/>
        </w:rPr>
        <w:instrText xml:space="preserve"> SEQ Table \* ARABIC </w:instrText>
      </w:r>
      <w:r w:rsidRPr="00E25AA6">
        <w:rPr>
          <w:sz w:val="24"/>
          <w:szCs w:val="24"/>
        </w:rPr>
        <w:fldChar w:fldCharType="separate"/>
      </w:r>
      <w:r w:rsidR="00D762F5">
        <w:rPr>
          <w:noProof/>
          <w:sz w:val="24"/>
          <w:szCs w:val="24"/>
        </w:rPr>
        <w:t>5</w:t>
      </w:r>
      <w:r w:rsidRPr="00E25AA6">
        <w:rPr>
          <w:sz w:val="24"/>
          <w:szCs w:val="24"/>
        </w:rPr>
        <w:fldChar w:fldCharType="end"/>
      </w:r>
      <w:r w:rsidRPr="00E25AA6">
        <w:rPr>
          <w:sz w:val="24"/>
          <w:szCs w:val="24"/>
        </w:rPr>
        <w:t>: Costing line items for 15</w:t>
      </w:r>
      <w:r w:rsidR="00ED6DD6">
        <w:rPr>
          <w:sz w:val="24"/>
          <w:szCs w:val="24"/>
        </w:rPr>
        <w:t xml:space="preserve"> to </w:t>
      </w:r>
      <w:r w:rsidRPr="00E25AA6">
        <w:rPr>
          <w:sz w:val="24"/>
          <w:szCs w:val="24"/>
        </w:rPr>
        <w:t>17 years</w:t>
      </w:r>
    </w:p>
    <w:tbl>
      <w:tblPr>
        <w:tblStyle w:val="RD"/>
        <w:tblW w:w="0" w:type="auto"/>
        <w:tblLook w:val="04A0" w:firstRow="1" w:lastRow="0" w:firstColumn="1" w:lastColumn="0" w:noHBand="0" w:noVBand="1"/>
      </w:tblPr>
      <w:tblGrid>
        <w:gridCol w:w="5935"/>
        <w:gridCol w:w="3415"/>
      </w:tblGrid>
      <w:tr w:rsidR="00CD5DC0" w:rsidRPr="00ED6DD6" w14:paraId="48721E92" w14:textId="77777777" w:rsidTr="00ED6D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14:paraId="02C0DF81" w14:textId="26374D02" w:rsidR="00CD5DC0" w:rsidRPr="00ED6DD6" w:rsidRDefault="000D51BB" w:rsidP="007314DE">
            <w:pPr>
              <w:spacing w:after="0" w:line="240" w:lineRule="auto"/>
              <w:rPr>
                <w:sz w:val="24"/>
                <w:szCs w:val="24"/>
              </w:rPr>
            </w:pPr>
            <w:r w:rsidRPr="00ED6DD6">
              <w:rPr>
                <w:sz w:val="24"/>
                <w:szCs w:val="24"/>
              </w:rPr>
              <w:t>Line Item</w:t>
            </w:r>
          </w:p>
        </w:tc>
        <w:tc>
          <w:tcPr>
            <w:tcW w:w="3415" w:type="dxa"/>
          </w:tcPr>
          <w:p w14:paraId="3C4B1B86" w14:textId="77777777" w:rsidR="00CD5DC0" w:rsidRPr="00ED6DD6" w:rsidRDefault="00CD5DC0" w:rsidP="00C36E2F">
            <w:pPr>
              <w:spacing w:after="0" w:line="240" w:lineRule="auto"/>
              <w:cnfStyle w:val="100000000000" w:firstRow="1" w:lastRow="0" w:firstColumn="0" w:lastColumn="0" w:oddVBand="0" w:evenVBand="0" w:oddHBand="0" w:evenHBand="0" w:firstRowFirstColumn="0" w:firstRowLastColumn="0" w:lastRowFirstColumn="0" w:lastRowLastColumn="0"/>
              <w:rPr>
                <w:sz w:val="24"/>
                <w:szCs w:val="24"/>
              </w:rPr>
            </w:pPr>
            <w:r w:rsidRPr="00ED6DD6">
              <w:rPr>
                <w:sz w:val="24"/>
                <w:szCs w:val="24"/>
              </w:rPr>
              <w:t>Total Calculated Cost</w:t>
            </w:r>
          </w:p>
          <w:p w14:paraId="286BBE59" w14:textId="7A306C4A" w:rsidR="00CD5DC0" w:rsidRPr="00ED6DD6" w:rsidRDefault="00CD5DC0" w:rsidP="00C36E2F">
            <w:pPr>
              <w:spacing w:after="0" w:line="240" w:lineRule="auto"/>
              <w:cnfStyle w:val="100000000000" w:firstRow="1" w:lastRow="0" w:firstColumn="0" w:lastColumn="0" w:oddVBand="0" w:evenVBand="0" w:oddHBand="0" w:evenHBand="0" w:firstRowFirstColumn="0" w:firstRowLastColumn="0" w:lastRowFirstColumn="0" w:lastRowLastColumn="0"/>
              <w:rPr>
                <w:sz w:val="24"/>
                <w:szCs w:val="24"/>
              </w:rPr>
            </w:pPr>
            <w:r w:rsidRPr="00ED6DD6">
              <w:rPr>
                <w:sz w:val="24"/>
                <w:szCs w:val="24"/>
              </w:rPr>
              <w:t>(in 202</w:t>
            </w:r>
            <w:r w:rsidR="00C15074" w:rsidRPr="00ED6DD6">
              <w:rPr>
                <w:sz w:val="24"/>
                <w:szCs w:val="24"/>
              </w:rPr>
              <w:t>5</w:t>
            </w:r>
            <w:r w:rsidRPr="00ED6DD6">
              <w:rPr>
                <w:sz w:val="24"/>
                <w:szCs w:val="24"/>
              </w:rPr>
              <w:t xml:space="preserve"> Canadian Dollars)</w:t>
            </w:r>
          </w:p>
        </w:tc>
      </w:tr>
      <w:tr w:rsidR="00C15074" w:rsidRPr="00ED6DD6" w14:paraId="4BA250AD" w14:textId="77777777" w:rsidTr="0020242D">
        <w:tc>
          <w:tcPr>
            <w:cnfStyle w:val="001000000000" w:firstRow="0" w:lastRow="0" w:firstColumn="1" w:lastColumn="0" w:oddVBand="0" w:evenVBand="0" w:oddHBand="0" w:evenHBand="0" w:firstRowFirstColumn="0" w:firstRowLastColumn="0" w:lastRowFirstColumn="0" w:lastRowLastColumn="0"/>
            <w:tcW w:w="5935" w:type="dxa"/>
          </w:tcPr>
          <w:p w14:paraId="7A3E5C23" w14:textId="2AC08635" w:rsidR="00C15074" w:rsidRPr="00ED6DD6" w:rsidRDefault="00C15074" w:rsidP="00C15074">
            <w:pPr>
              <w:spacing w:after="0" w:line="240" w:lineRule="auto"/>
              <w:rPr>
                <w:sz w:val="24"/>
                <w:szCs w:val="24"/>
                <w:lang w:eastAsia="en-CA"/>
              </w:rPr>
            </w:pPr>
            <w:r w:rsidRPr="00ED6DD6">
              <w:rPr>
                <w:sz w:val="24"/>
                <w:szCs w:val="24"/>
              </w:rPr>
              <w:t>Individual Education Plan ($6,189 per year for 3 years)</w:t>
            </w:r>
          </w:p>
        </w:tc>
        <w:tc>
          <w:tcPr>
            <w:tcW w:w="3415" w:type="dxa"/>
            <w:tcBorders>
              <w:bottom w:val="single" w:sz="8" w:space="0" w:color="467C81" w:themeColor="accent3"/>
            </w:tcBorders>
          </w:tcPr>
          <w:p w14:paraId="4561951D" w14:textId="36E96BC2" w:rsidR="00C15074" w:rsidRPr="00ED6DD6" w:rsidRDefault="00C1507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D6DD6">
              <w:rPr>
                <w:sz w:val="24"/>
                <w:szCs w:val="24"/>
                <w:lang w:eastAsia="en-CA"/>
              </w:rPr>
              <w:t>$18,567</w:t>
            </w:r>
          </w:p>
        </w:tc>
      </w:tr>
      <w:tr w:rsidR="00C15074" w:rsidRPr="00ED6DD6" w14:paraId="18EE7207" w14:textId="77777777" w:rsidTr="0020242D">
        <w:tc>
          <w:tcPr>
            <w:cnfStyle w:val="001000000000" w:firstRow="0" w:lastRow="0" w:firstColumn="1" w:lastColumn="0" w:oddVBand="0" w:evenVBand="0" w:oddHBand="0" w:evenHBand="0" w:firstRowFirstColumn="0" w:firstRowLastColumn="0" w:lastRowFirstColumn="0" w:lastRowLastColumn="0"/>
            <w:tcW w:w="5935" w:type="dxa"/>
          </w:tcPr>
          <w:p w14:paraId="76F46188" w14:textId="33D7B669" w:rsidR="00C15074" w:rsidRPr="00ED6DD6" w:rsidRDefault="00C15074" w:rsidP="00C15074">
            <w:pPr>
              <w:spacing w:after="0" w:line="240" w:lineRule="auto"/>
              <w:rPr>
                <w:sz w:val="24"/>
                <w:szCs w:val="24"/>
                <w:lang w:eastAsia="en-CA"/>
              </w:rPr>
            </w:pPr>
            <w:r w:rsidRPr="00ED6DD6">
              <w:rPr>
                <w:sz w:val="24"/>
                <w:szCs w:val="24"/>
                <w:lang w:eastAsia="en-CA"/>
              </w:rPr>
              <w:t>Police Call for Service ($17</w:t>
            </w:r>
            <w:r w:rsidR="000C141F">
              <w:rPr>
                <w:sz w:val="24"/>
                <w:szCs w:val="24"/>
                <w:lang w:eastAsia="en-CA"/>
              </w:rPr>
              <w:t>6</w:t>
            </w:r>
            <w:r w:rsidRPr="00ED6DD6">
              <w:rPr>
                <w:sz w:val="24"/>
                <w:szCs w:val="24"/>
                <w:lang w:eastAsia="en-CA"/>
              </w:rPr>
              <w:t xml:space="preserve"> per call for 2 calls)</w:t>
            </w:r>
          </w:p>
        </w:tc>
        <w:tc>
          <w:tcPr>
            <w:tcW w:w="3415" w:type="dxa"/>
            <w:tcBorders>
              <w:bottom w:val="single" w:sz="4" w:space="0" w:color="467C81" w:themeColor="accent3"/>
            </w:tcBorders>
          </w:tcPr>
          <w:p w14:paraId="184E8FC7" w14:textId="757DB82D" w:rsidR="00C15074" w:rsidRPr="00ED6DD6" w:rsidRDefault="00C1507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D6DD6">
              <w:rPr>
                <w:sz w:val="24"/>
                <w:szCs w:val="24"/>
              </w:rPr>
              <w:t>$351</w:t>
            </w:r>
          </w:p>
        </w:tc>
      </w:tr>
      <w:tr w:rsidR="00C15074" w:rsidRPr="00ED6DD6" w14:paraId="67239E65" w14:textId="77777777" w:rsidTr="0020242D">
        <w:tc>
          <w:tcPr>
            <w:cnfStyle w:val="001000000000" w:firstRow="0" w:lastRow="0" w:firstColumn="1" w:lastColumn="0" w:oddVBand="0" w:evenVBand="0" w:oddHBand="0" w:evenHBand="0" w:firstRowFirstColumn="0" w:firstRowLastColumn="0" w:lastRowFirstColumn="0" w:lastRowLastColumn="0"/>
            <w:tcW w:w="5935" w:type="dxa"/>
          </w:tcPr>
          <w:p w14:paraId="7DC09E8F" w14:textId="45D7314E" w:rsidR="00C15074" w:rsidRPr="00ED6DD6" w:rsidRDefault="00C15074" w:rsidP="00C15074">
            <w:pPr>
              <w:spacing w:after="0" w:line="240" w:lineRule="auto"/>
              <w:rPr>
                <w:sz w:val="24"/>
                <w:szCs w:val="24"/>
                <w:lang w:eastAsia="en-CA"/>
              </w:rPr>
            </w:pPr>
            <w:r w:rsidRPr="00ED6DD6">
              <w:rPr>
                <w:sz w:val="24"/>
                <w:szCs w:val="24"/>
                <w:lang w:eastAsia="en-CA"/>
              </w:rPr>
              <w:t>Social Assistance for High School Drop Out ($765.81 per month for a total of 48 months between the ages of 17 and 30</w:t>
            </w:r>
          </w:p>
        </w:tc>
        <w:tc>
          <w:tcPr>
            <w:tcW w:w="3415" w:type="dxa"/>
            <w:tcBorders>
              <w:top w:val="single" w:sz="4" w:space="0" w:color="467C81" w:themeColor="accent3"/>
            </w:tcBorders>
          </w:tcPr>
          <w:p w14:paraId="618FDD24" w14:textId="730F94F9" w:rsidR="00C15074" w:rsidRPr="00ED6DD6" w:rsidRDefault="00C1507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D6DD6">
              <w:rPr>
                <w:sz w:val="24"/>
                <w:szCs w:val="24"/>
              </w:rPr>
              <w:t>$36,75</w:t>
            </w:r>
            <w:r w:rsidR="000C141F">
              <w:rPr>
                <w:sz w:val="24"/>
                <w:szCs w:val="24"/>
              </w:rPr>
              <w:t>9</w:t>
            </w:r>
          </w:p>
        </w:tc>
      </w:tr>
      <w:tr w:rsidR="00C15074" w:rsidRPr="00ED6DD6" w14:paraId="44A9E83C" w14:textId="77777777" w:rsidTr="00ED6DD6">
        <w:tc>
          <w:tcPr>
            <w:cnfStyle w:val="001000000000" w:firstRow="0" w:lastRow="0" w:firstColumn="1" w:lastColumn="0" w:oddVBand="0" w:evenVBand="0" w:oddHBand="0" w:evenHBand="0" w:firstRowFirstColumn="0" w:firstRowLastColumn="0" w:lastRowFirstColumn="0" w:lastRowLastColumn="0"/>
            <w:tcW w:w="5935" w:type="dxa"/>
          </w:tcPr>
          <w:p w14:paraId="2DF718F6" w14:textId="638DACA9" w:rsidR="00C15074" w:rsidRPr="00ED6DD6" w:rsidRDefault="00C15074" w:rsidP="00C15074">
            <w:pPr>
              <w:spacing w:after="0" w:line="240" w:lineRule="auto"/>
              <w:rPr>
                <w:sz w:val="24"/>
                <w:szCs w:val="24"/>
                <w:lang w:eastAsia="en-CA"/>
              </w:rPr>
            </w:pPr>
            <w:r w:rsidRPr="00ED6DD6">
              <w:rPr>
                <w:sz w:val="24"/>
                <w:szCs w:val="24"/>
                <w:lang w:eastAsia="en-CA"/>
              </w:rPr>
              <w:t>Arrest of a Juvenile ($677.08 per arrest for 2 arrests)</w:t>
            </w:r>
          </w:p>
        </w:tc>
        <w:tc>
          <w:tcPr>
            <w:tcW w:w="3415" w:type="dxa"/>
          </w:tcPr>
          <w:p w14:paraId="7B85520E" w14:textId="37D313C3" w:rsidR="00C15074" w:rsidRPr="00ED6DD6" w:rsidRDefault="00C1507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D6DD6">
              <w:rPr>
                <w:sz w:val="24"/>
                <w:szCs w:val="24"/>
              </w:rPr>
              <w:t>$1,354</w:t>
            </w:r>
          </w:p>
        </w:tc>
      </w:tr>
      <w:tr w:rsidR="00C15074" w:rsidRPr="00ED6DD6" w14:paraId="1F37FA33" w14:textId="77777777" w:rsidTr="00ED6DD6">
        <w:tc>
          <w:tcPr>
            <w:cnfStyle w:val="001000000000" w:firstRow="0" w:lastRow="0" w:firstColumn="1" w:lastColumn="0" w:oddVBand="0" w:evenVBand="0" w:oddHBand="0" w:evenHBand="0" w:firstRowFirstColumn="0" w:firstRowLastColumn="0" w:lastRowFirstColumn="0" w:lastRowLastColumn="0"/>
            <w:tcW w:w="5935" w:type="dxa"/>
          </w:tcPr>
          <w:p w14:paraId="282745A9" w14:textId="2EB744A0" w:rsidR="00C15074" w:rsidRPr="00ED6DD6" w:rsidRDefault="00C15074" w:rsidP="00C15074">
            <w:pPr>
              <w:spacing w:after="0" w:line="240" w:lineRule="auto"/>
              <w:rPr>
                <w:sz w:val="24"/>
                <w:szCs w:val="24"/>
                <w:lang w:eastAsia="en-CA"/>
              </w:rPr>
            </w:pPr>
            <w:r w:rsidRPr="00ED6DD6">
              <w:rPr>
                <w:sz w:val="24"/>
                <w:szCs w:val="24"/>
                <w:lang w:eastAsia="en-CA"/>
              </w:rPr>
              <w:t>Youth Court Appearance ($1,6</w:t>
            </w:r>
            <w:r w:rsidR="00ED08B9" w:rsidRPr="00ED6DD6">
              <w:rPr>
                <w:sz w:val="24"/>
                <w:szCs w:val="24"/>
                <w:lang w:eastAsia="en-CA"/>
              </w:rPr>
              <w:t>50.83</w:t>
            </w:r>
            <w:r w:rsidRPr="00ED6DD6">
              <w:rPr>
                <w:sz w:val="24"/>
                <w:szCs w:val="24"/>
                <w:lang w:eastAsia="en-CA"/>
              </w:rPr>
              <w:t xml:space="preserve"> per appearance for 2 appearances)</w:t>
            </w:r>
          </w:p>
        </w:tc>
        <w:tc>
          <w:tcPr>
            <w:tcW w:w="3415" w:type="dxa"/>
          </w:tcPr>
          <w:p w14:paraId="05A828F5" w14:textId="37A9EAB2" w:rsidR="00C15074" w:rsidRPr="00ED6DD6" w:rsidRDefault="00C1507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D6DD6">
              <w:rPr>
                <w:sz w:val="24"/>
                <w:szCs w:val="24"/>
              </w:rPr>
              <w:t>$3,30</w:t>
            </w:r>
            <w:r w:rsidR="000C141F">
              <w:rPr>
                <w:sz w:val="24"/>
                <w:szCs w:val="24"/>
              </w:rPr>
              <w:t>2</w:t>
            </w:r>
          </w:p>
        </w:tc>
      </w:tr>
      <w:tr w:rsidR="00C15074" w:rsidRPr="00ED6DD6" w14:paraId="6BF110CF" w14:textId="77777777" w:rsidTr="00ED6DD6">
        <w:tc>
          <w:tcPr>
            <w:cnfStyle w:val="001000000000" w:firstRow="0" w:lastRow="0" w:firstColumn="1" w:lastColumn="0" w:oddVBand="0" w:evenVBand="0" w:oddHBand="0" w:evenHBand="0" w:firstRowFirstColumn="0" w:firstRowLastColumn="0" w:lastRowFirstColumn="0" w:lastRowLastColumn="0"/>
            <w:tcW w:w="5935" w:type="dxa"/>
          </w:tcPr>
          <w:p w14:paraId="0D7C254E" w14:textId="554DD074" w:rsidR="00C15074" w:rsidRPr="00ED6DD6" w:rsidRDefault="00C15074" w:rsidP="00C15074">
            <w:pPr>
              <w:spacing w:after="0" w:line="240" w:lineRule="auto"/>
              <w:rPr>
                <w:sz w:val="24"/>
                <w:szCs w:val="24"/>
                <w:lang w:eastAsia="en-CA"/>
              </w:rPr>
            </w:pPr>
            <w:r w:rsidRPr="00ED6DD6">
              <w:rPr>
                <w:sz w:val="24"/>
                <w:szCs w:val="24"/>
                <w:lang w:eastAsia="en-CA"/>
              </w:rPr>
              <w:t>Police Attendance at Court ($443.10 per attendance for 3 attendances)</w:t>
            </w:r>
          </w:p>
        </w:tc>
        <w:tc>
          <w:tcPr>
            <w:tcW w:w="3415" w:type="dxa"/>
          </w:tcPr>
          <w:p w14:paraId="6EAFDE53" w14:textId="0C9D73C0" w:rsidR="00C15074" w:rsidRPr="00ED6DD6" w:rsidRDefault="00C15074"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D6DD6">
              <w:rPr>
                <w:sz w:val="24"/>
                <w:szCs w:val="24"/>
              </w:rPr>
              <w:t>$1,329</w:t>
            </w:r>
          </w:p>
        </w:tc>
      </w:tr>
      <w:tr w:rsidR="003A5F20" w:rsidRPr="00ED6DD6" w14:paraId="30F78158" w14:textId="77777777" w:rsidTr="00ED6DD6">
        <w:tc>
          <w:tcPr>
            <w:cnfStyle w:val="001000000000" w:firstRow="0" w:lastRow="0" w:firstColumn="1" w:lastColumn="0" w:oddVBand="0" w:evenVBand="0" w:oddHBand="0" w:evenHBand="0" w:firstRowFirstColumn="0" w:firstRowLastColumn="0" w:lastRowFirstColumn="0" w:lastRowLastColumn="0"/>
            <w:tcW w:w="5935" w:type="dxa"/>
          </w:tcPr>
          <w:p w14:paraId="7D16091C" w14:textId="48B01BA6" w:rsidR="003A5F20" w:rsidRPr="00ED6DD6" w:rsidRDefault="003A5F20" w:rsidP="003A5F20">
            <w:pPr>
              <w:spacing w:after="0" w:line="240" w:lineRule="auto"/>
              <w:rPr>
                <w:sz w:val="24"/>
                <w:szCs w:val="24"/>
                <w:lang w:eastAsia="en-CA"/>
              </w:rPr>
            </w:pPr>
            <w:r w:rsidRPr="00ED6DD6">
              <w:rPr>
                <w:sz w:val="24"/>
                <w:szCs w:val="24"/>
                <w:lang w:eastAsia="en-CA"/>
              </w:rPr>
              <w:t>Probation Supervision ($23.21 per day for 240 days)</w:t>
            </w:r>
          </w:p>
        </w:tc>
        <w:tc>
          <w:tcPr>
            <w:tcW w:w="3415" w:type="dxa"/>
          </w:tcPr>
          <w:p w14:paraId="51687FB1" w14:textId="0F6E525D" w:rsidR="003A5F20" w:rsidRPr="00ED6DD6" w:rsidRDefault="003A5F20"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D6DD6">
              <w:rPr>
                <w:sz w:val="24"/>
                <w:szCs w:val="24"/>
              </w:rPr>
              <w:t>$5,570</w:t>
            </w:r>
          </w:p>
        </w:tc>
      </w:tr>
      <w:tr w:rsidR="003A5F20" w:rsidRPr="00ED6DD6" w14:paraId="2217FA97" w14:textId="77777777" w:rsidTr="00ED6DD6">
        <w:tc>
          <w:tcPr>
            <w:cnfStyle w:val="001000000000" w:firstRow="0" w:lastRow="0" w:firstColumn="1" w:lastColumn="0" w:oddVBand="0" w:evenVBand="0" w:oddHBand="0" w:evenHBand="0" w:firstRowFirstColumn="0" w:firstRowLastColumn="0" w:lastRowFirstColumn="0" w:lastRowLastColumn="0"/>
            <w:tcW w:w="5935" w:type="dxa"/>
          </w:tcPr>
          <w:p w14:paraId="5D0B9064" w14:textId="4C22B2DE" w:rsidR="003A5F20" w:rsidRPr="00ED6DD6" w:rsidRDefault="003A5F20" w:rsidP="003A5F20">
            <w:pPr>
              <w:spacing w:after="0" w:line="240" w:lineRule="auto"/>
              <w:rPr>
                <w:sz w:val="24"/>
                <w:szCs w:val="24"/>
              </w:rPr>
            </w:pPr>
            <w:r w:rsidRPr="00ED6DD6">
              <w:rPr>
                <w:sz w:val="24"/>
                <w:szCs w:val="24"/>
                <w:lang w:eastAsia="en-CA"/>
              </w:rPr>
              <w:t>Assault ($5,718.14 per assault for 2 assaults)</w:t>
            </w:r>
          </w:p>
        </w:tc>
        <w:tc>
          <w:tcPr>
            <w:tcW w:w="3415" w:type="dxa"/>
          </w:tcPr>
          <w:p w14:paraId="1FAF45DD" w14:textId="24A5E5F5" w:rsidR="003A5F20" w:rsidRPr="00ED6DD6" w:rsidRDefault="003A5F20"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D6DD6">
              <w:rPr>
                <w:sz w:val="24"/>
                <w:szCs w:val="24"/>
              </w:rPr>
              <w:t>$11,436</w:t>
            </w:r>
          </w:p>
        </w:tc>
      </w:tr>
      <w:tr w:rsidR="003A5F20" w:rsidRPr="00ED6DD6" w14:paraId="5A071A65" w14:textId="77777777" w:rsidTr="00ED6DD6">
        <w:tc>
          <w:tcPr>
            <w:cnfStyle w:val="001000000000" w:firstRow="0" w:lastRow="0" w:firstColumn="1" w:lastColumn="0" w:oddVBand="0" w:evenVBand="0" w:oddHBand="0" w:evenHBand="0" w:firstRowFirstColumn="0" w:firstRowLastColumn="0" w:lastRowFirstColumn="0" w:lastRowLastColumn="0"/>
            <w:tcW w:w="5935" w:type="dxa"/>
          </w:tcPr>
          <w:p w14:paraId="0BA3DB2E" w14:textId="0B833FDA" w:rsidR="003A5F20" w:rsidRPr="00ED6DD6" w:rsidRDefault="003A5F20" w:rsidP="003A5F20">
            <w:pPr>
              <w:spacing w:after="0" w:line="240" w:lineRule="auto"/>
              <w:rPr>
                <w:sz w:val="24"/>
                <w:szCs w:val="24"/>
              </w:rPr>
            </w:pPr>
            <w:r w:rsidRPr="00ED6DD6">
              <w:rPr>
                <w:sz w:val="24"/>
                <w:szCs w:val="24"/>
                <w:lang w:eastAsia="en-CA"/>
              </w:rPr>
              <w:t>Youth Custody Facility ($253.12 per day for 120 days)</w:t>
            </w:r>
          </w:p>
        </w:tc>
        <w:tc>
          <w:tcPr>
            <w:tcW w:w="3415" w:type="dxa"/>
          </w:tcPr>
          <w:p w14:paraId="281C2012" w14:textId="0B739DCE" w:rsidR="003A5F20" w:rsidRPr="00ED6DD6" w:rsidRDefault="003A5F20"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D6DD6">
              <w:rPr>
                <w:sz w:val="24"/>
                <w:szCs w:val="24"/>
              </w:rPr>
              <w:t>$30,374</w:t>
            </w:r>
          </w:p>
        </w:tc>
      </w:tr>
      <w:tr w:rsidR="003A5F20" w:rsidRPr="00ED6DD6" w14:paraId="3FEC8D87" w14:textId="77777777" w:rsidTr="00ED6DD6">
        <w:tc>
          <w:tcPr>
            <w:cnfStyle w:val="001000000000" w:firstRow="0" w:lastRow="0" w:firstColumn="1" w:lastColumn="0" w:oddVBand="0" w:evenVBand="0" w:oddHBand="0" w:evenHBand="0" w:firstRowFirstColumn="0" w:firstRowLastColumn="0" w:lastRowFirstColumn="0" w:lastRowLastColumn="0"/>
            <w:tcW w:w="5935" w:type="dxa"/>
          </w:tcPr>
          <w:p w14:paraId="1BCBC98E" w14:textId="77777777" w:rsidR="003A5F20" w:rsidRPr="00ED6DD6" w:rsidRDefault="003A5F20" w:rsidP="003A5F20">
            <w:pPr>
              <w:spacing w:after="0" w:line="240" w:lineRule="auto"/>
              <w:jc w:val="right"/>
              <w:rPr>
                <w:b/>
                <w:bCs/>
                <w:sz w:val="24"/>
                <w:szCs w:val="24"/>
              </w:rPr>
            </w:pPr>
            <w:r w:rsidRPr="00ED6DD6">
              <w:rPr>
                <w:b/>
                <w:bCs/>
                <w:sz w:val="24"/>
                <w:szCs w:val="24"/>
              </w:rPr>
              <w:t>Period Total</w:t>
            </w:r>
          </w:p>
        </w:tc>
        <w:tc>
          <w:tcPr>
            <w:tcW w:w="3415" w:type="dxa"/>
          </w:tcPr>
          <w:p w14:paraId="740005D4" w14:textId="6D79AB58" w:rsidR="003A5F20" w:rsidRPr="00ED6DD6" w:rsidRDefault="003A5F20" w:rsidP="00C36E2F">
            <w:pPr>
              <w:spacing w:after="0" w:line="240" w:lineRule="auto"/>
              <w:cnfStyle w:val="000000000000" w:firstRow="0" w:lastRow="0" w:firstColumn="0" w:lastColumn="0" w:oddVBand="0" w:evenVBand="0" w:oddHBand="0" w:evenHBand="0" w:firstRowFirstColumn="0" w:firstRowLastColumn="0" w:lastRowFirstColumn="0" w:lastRowLastColumn="0"/>
              <w:rPr>
                <w:b/>
                <w:bCs/>
                <w:sz w:val="24"/>
                <w:szCs w:val="24"/>
              </w:rPr>
            </w:pPr>
            <w:r w:rsidRPr="00ED6DD6">
              <w:rPr>
                <w:b/>
                <w:bCs/>
                <w:sz w:val="24"/>
                <w:szCs w:val="24"/>
              </w:rPr>
              <w:t>$109,04</w:t>
            </w:r>
            <w:r w:rsidR="000C141F">
              <w:rPr>
                <w:b/>
                <w:bCs/>
                <w:sz w:val="24"/>
                <w:szCs w:val="24"/>
              </w:rPr>
              <w:t>4</w:t>
            </w:r>
          </w:p>
        </w:tc>
      </w:tr>
    </w:tbl>
    <w:p w14:paraId="70FE4317" w14:textId="77777777" w:rsidR="00CD5DC0" w:rsidRPr="00543AC3" w:rsidRDefault="00CD5DC0" w:rsidP="00CD5DC0">
      <w:pPr>
        <w:spacing w:after="0"/>
      </w:pPr>
    </w:p>
    <w:p w14:paraId="6560BB65" w14:textId="29156690" w:rsidR="00CD5DC0" w:rsidRPr="00E25AA6" w:rsidRDefault="00CD5DC0" w:rsidP="00CD5DC0">
      <w:pPr>
        <w:pStyle w:val="Caption"/>
        <w:keepNext/>
        <w:rPr>
          <w:sz w:val="24"/>
          <w:szCs w:val="24"/>
        </w:rPr>
      </w:pPr>
      <w:r w:rsidRPr="00E25AA6">
        <w:rPr>
          <w:sz w:val="24"/>
          <w:szCs w:val="24"/>
        </w:rPr>
        <w:t xml:space="preserve">Table </w:t>
      </w:r>
      <w:r w:rsidRPr="00E25AA6">
        <w:rPr>
          <w:sz w:val="24"/>
          <w:szCs w:val="24"/>
        </w:rPr>
        <w:fldChar w:fldCharType="begin"/>
      </w:r>
      <w:r w:rsidRPr="00E25AA6">
        <w:rPr>
          <w:sz w:val="24"/>
          <w:szCs w:val="24"/>
        </w:rPr>
        <w:instrText xml:space="preserve"> SEQ Table \* ARABIC </w:instrText>
      </w:r>
      <w:r w:rsidRPr="00E25AA6">
        <w:rPr>
          <w:sz w:val="24"/>
          <w:szCs w:val="24"/>
        </w:rPr>
        <w:fldChar w:fldCharType="separate"/>
      </w:r>
      <w:r w:rsidR="00D762F5">
        <w:rPr>
          <w:noProof/>
          <w:sz w:val="24"/>
          <w:szCs w:val="24"/>
        </w:rPr>
        <w:t>6</w:t>
      </w:r>
      <w:r w:rsidRPr="00E25AA6">
        <w:rPr>
          <w:sz w:val="24"/>
          <w:szCs w:val="24"/>
        </w:rPr>
        <w:fldChar w:fldCharType="end"/>
      </w:r>
      <w:r w:rsidRPr="00E25AA6">
        <w:rPr>
          <w:sz w:val="24"/>
          <w:szCs w:val="24"/>
        </w:rPr>
        <w:t>: Costing line items for 18 plus years</w:t>
      </w:r>
    </w:p>
    <w:tbl>
      <w:tblPr>
        <w:tblStyle w:val="RD"/>
        <w:tblW w:w="0" w:type="auto"/>
        <w:tblLook w:val="04A0" w:firstRow="1" w:lastRow="0" w:firstColumn="1" w:lastColumn="0" w:noHBand="0" w:noVBand="1"/>
      </w:tblPr>
      <w:tblGrid>
        <w:gridCol w:w="5935"/>
        <w:gridCol w:w="3415"/>
      </w:tblGrid>
      <w:tr w:rsidR="00CD5DC0" w:rsidRPr="00ED6DD6" w14:paraId="58AB051C" w14:textId="77777777" w:rsidTr="00ED6D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14:paraId="4B01FD37" w14:textId="043FBB07" w:rsidR="00CD5DC0" w:rsidRPr="00ED6DD6" w:rsidRDefault="003D31AE" w:rsidP="007314DE">
            <w:pPr>
              <w:spacing w:after="0" w:line="240" w:lineRule="auto"/>
              <w:rPr>
                <w:sz w:val="24"/>
                <w:szCs w:val="24"/>
              </w:rPr>
            </w:pPr>
            <w:r w:rsidRPr="00ED6DD6">
              <w:rPr>
                <w:sz w:val="24"/>
                <w:szCs w:val="24"/>
              </w:rPr>
              <w:t>Line Item</w:t>
            </w:r>
          </w:p>
        </w:tc>
        <w:tc>
          <w:tcPr>
            <w:tcW w:w="3415" w:type="dxa"/>
          </w:tcPr>
          <w:p w14:paraId="265BF38F" w14:textId="77777777" w:rsidR="00CD5DC0" w:rsidRPr="00ED6DD6" w:rsidRDefault="00CD5DC0" w:rsidP="00C36E2F">
            <w:pPr>
              <w:spacing w:after="0" w:line="240" w:lineRule="auto"/>
              <w:cnfStyle w:val="100000000000" w:firstRow="1" w:lastRow="0" w:firstColumn="0" w:lastColumn="0" w:oddVBand="0" w:evenVBand="0" w:oddHBand="0" w:evenHBand="0" w:firstRowFirstColumn="0" w:firstRowLastColumn="0" w:lastRowFirstColumn="0" w:lastRowLastColumn="0"/>
              <w:rPr>
                <w:sz w:val="24"/>
                <w:szCs w:val="24"/>
              </w:rPr>
            </w:pPr>
            <w:r w:rsidRPr="00ED6DD6">
              <w:rPr>
                <w:sz w:val="24"/>
                <w:szCs w:val="24"/>
              </w:rPr>
              <w:t>Total Calculated Cost</w:t>
            </w:r>
          </w:p>
          <w:p w14:paraId="309B80DA" w14:textId="31F5EA5D" w:rsidR="00CD5DC0" w:rsidRPr="00ED6DD6" w:rsidRDefault="00CD5DC0" w:rsidP="00C36E2F">
            <w:pPr>
              <w:spacing w:after="0" w:line="240" w:lineRule="auto"/>
              <w:cnfStyle w:val="100000000000" w:firstRow="1" w:lastRow="0" w:firstColumn="0" w:lastColumn="0" w:oddVBand="0" w:evenVBand="0" w:oddHBand="0" w:evenHBand="0" w:firstRowFirstColumn="0" w:firstRowLastColumn="0" w:lastRowFirstColumn="0" w:lastRowLastColumn="0"/>
              <w:rPr>
                <w:sz w:val="24"/>
                <w:szCs w:val="24"/>
              </w:rPr>
            </w:pPr>
            <w:r w:rsidRPr="00ED6DD6">
              <w:rPr>
                <w:sz w:val="24"/>
                <w:szCs w:val="24"/>
              </w:rPr>
              <w:t>(in 202</w:t>
            </w:r>
            <w:r w:rsidR="003A5F20" w:rsidRPr="00ED6DD6">
              <w:rPr>
                <w:sz w:val="24"/>
                <w:szCs w:val="24"/>
              </w:rPr>
              <w:t>5</w:t>
            </w:r>
            <w:r w:rsidRPr="00ED6DD6">
              <w:rPr>
                <w:sz w:val="24"/>
                <w:szCs w:val="24"/>
              </w:rPr>
              <w:t xml:space="preserve"> Canadian Dollars)</w:t>
            </w:r>
          </w:p>
        </w:tc>
      </w:tr>
      <w:tr w:rsidR="003D31AE" w:rsidRPr="00ED6DD6" w14:paraId="432AACFB" w14:textId="77777777" w:rsidTr="00ED6DD6">
        <w:tc>
          <w:tcPr>
            <w:cnfStyle w:val="001000000000" w:firstRow="0" w:lastRow="0" w:firstColumn="1" w:lastColumn="0" w:oddVBand="0" w:evenVBand="0" w:oddHBand="0" w:evenHBand="0" w:firstRowFirstColumn="0" w:firstRowLastColumn="0" w:lastRowFirstColumn="0" w:lastRowLastColumn="0"/>
            <w:tcW w:w="5935" w:type="dxa"/>
          </w:tcPr>
          <w:p w14:paraId="33EFDBD0" w14:textId="080F9397" w:rsidR="003D31AE" w:rsidRPr="00ED6DD6" w:rsidRDefault="003D31AE" w:rsidP="003D31AE">
            <w:pPr>
              <w:spacing w:after="0" w:line="240" w:lineRule="auto"/>
              <w:rPr>
                <w:sz w:val="24"/>
                <w:szCs w:val="24"/>
              </w:rPr>
            </w:pPr>
            <w:r w:rsidRPr="00ED6DD6">
              <w:rPr>
                <w:sz w:val="24"/>
                <w:szCs w:val="24"/>
                <w:lang w:eastAsia="en-CA"/>
              </w:rPr>
              <w:t>Police Call for Service</w:t>
            </w:r>
            <w:r w:rsidR="003A5F20" w:rsidRPr="00ED6DD6">
              <w:rPr>
                <w:sz w:val="24"/>
                <w:szCs w:val="24"/>
                <w:lang w:eastAsia="en-CA"/>
              </w:rPr>
              <w:t xml:space="preserve"> ($175.62 per call for 3 calls)</w:t>
            </w:r>
          </w:p>
        </w:tc>
        <w:tc>
          <w:tcPr>
            <w:tcW w:w="3415" w:type="dxa"/>
          </w:tcPr>
          <w:p w14:paraId="13D08FD5" w14:textId="6FAF420E" w:rsidR="003D31AE" w:rsidRPr="00ED6DD6" w:rsidRDefault="003D31AE"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D6DD6">
              <w:rPr>
                <w:sz w:val="24"/>
                <w:szCs w:val="24"/>
              </w:rPr>
              <w:t>$</w:t>
            </w:r>
            <w:r w:rsidR="003A5F20" w:rsidRPr="00ED6DD6">
              <w:rPr>
                <w:sz w:val="24"/>
                <w:szCs w:val="24"/>
              </w:rPr>
              <w:t>52</w:t>
            </w:r>
            <w:r w:rsidR="000C141F">
              <w:rPr>
                <w:sz w:val="24"/>
                <w:szCs w:val="24"/>
              </w:rPr>
              <w:t>7</w:t>
            </w:r>
          </w:p>
        </w:tc>
      </w:tr>
      <w:tr w:rsidR="003D31AE" w:rsidRPr="00ED6DD6" w14:paraId="775581FD" w14:textId="77777777" w:rsidTr="00ED6DD6">
        <w:tc>
          <w:tcPr>
            <w:cnfStyle w:val="001000000000" w:firstRow="0" w:lastRow="0" w:firstColumn="1" w:lastColumn="0" w:oddVBand="0" w:evenVBand="0" w:oddHBand="0" w:evenHBand="0" w:firstRowFirstColumn="0" w:firstRowLastColumn="0" w:lastRowFirstColumn="0" w:lastRowLastColumn="0"/>
            <w:tcW w:w="5935" w:type="dxa"/>
          </w:tcPr>
          <w:p w14:paraId="14A1C4EB" w14:textId="3FF02093" w:rsidR="003D31AE" w:rsidRPr="00ED6DD6" w:rsidRDefault="003D31AE" w:rsidP="003D31AE">
            <w:pPr>
              <w:spacing w:after="0" w:line="240" w:lineRule="auto"/>
              <w:rPr>
                <w:sz w:val="24"/>
                <w:szCs w:val="24"/>
              </w:rPr>
            </w:pPr>
            <w:r w:rsidRPr="00ED6DD6">
              <w:rPr>
                <w:sz w:val="24"/>
                <w:szCs w:val="24"/>
                <w:lang w:eastAsia="en-CA"/>
              </w:rPr>
              <w:t>Arrest of Adult</w:t>
            </w:r>
            <w:r w:rsidR="003A5F20" w:rsidRPr="00ED6DD6">
              <w:rPr>
                <w:sz w:val="24"/>
                <w:szCs w:val="24"/>
                <w:lang w:eastAsia="en-CA"/>
              </w:rPr>
              <w:t xml:space="preserve"> ($3,205.54 per arrest for 3 arrests)</w:t>
            </w:r>
          </w:p>
        </w:tc>
        <w:tc>
          <w:tcPr>
            <w:tcW w:w="3415" w:type="dxa"/>
          </w:tcPr>
          <w:p w14:paraId="1D0C2E36" w14:textId="3186134A" w:rsidR="003D31AE" w:rsidRPr="00ED6DD6" w:rsidRDefault="003D31AE"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D6DD6">
              <w:rPr>
                <w:sz w:val="24"/>
                <w:szCs w:val="24"/>
              </w:rPr>
              <w:t>$</w:t>
            </w:r>
            <w:r w:rsidR="003A5F20" w:rsidRPr="00ED6DD6">
              <w:rPr>
                <w:sz w:val="24"/>
                <w:szCs w:val="24"/>
              </w:rPr>
              <w:t>9,61</w:t>
            </w:r>
            <w:r w:rsidR="000C141F">
              <w:rPr>
                <w:sz w:val="24"/>
                <w:szCs w:val="24"/>
              </w:rPr>
              <w:t>7</w:t>
            </w:r>
          </w:p>
        </w:tc>
      </w:tr>
      <w:tr w:rsidR="003D31AE" w:rsidRPr="00ED6DD6" w14:paraId="58542809" w14:textId="77777777" w:rsidTr="00ED6DD6">
        <w:tc>
          <w:tcPr>
            <w:cnfStyle w:val="001000000000" w:firstRow="0" w:lastRow="0" w:firstColumn="1" w:lastColumn="0" w:oddVBand="0" w:evenVBand="0" w:oddHBand="0" w:evenHBand="0" w:firstRowFirstColumn="0" w:firstRowLastColumn="0" w:lastRowFirstColumn="0" w:lastRowLastColumn="0"/>
            <w:tcW w:w="5935" w:type="dxa"/>
          </w:tcPr>
          <w:p w14:paraId="5AF59A69" w14:textId="79D89115" w:rsidR="003D31AE" w:rsidRPr="00ED6DD6" w:rsidRDefault="003D31AE" w:rsidP="003D31AE">
            <w:pPr>
              <w:spacing w:after="0" w:line="240" w:lineRule="auto"/>
              <w:rPr>
                <w:sz w:val="24"/>
                <w:szCs w:val="24"/>
              </w:rPr>
            </w:pPr>
            <w:r w:rsidRPr="00ED6DD6">
              <w:rPr>
                <w:sz w:val="24"/>
                <w:szCs w:val="24"/>
                <w:lang w:eastAsia="en-CA"/>
              </w:rPr>
              <w:t>Adult Court Appearance</w:t>
            </w:r>
            <w:r w:rsidR="003A5F20" w:rsidRPr="00ED6DD6">
              <w:rPr>
                <w:sz w:val="24"/>
                <w:szCs w:val="24"/>
                <w:lang w:eastAsia="en-CA"/>
              </w:rPr>
              <w:t xml:space="preserve"> ($8,987.04 per appearance for 4 appearances)</w:t>
            </w:r>
          </w:p>
        </w:tc>
        <w:tc>
          <w:tcPr>
            <w:tcW w:w="3415" w:type="dxa"/>
          </w:tcPr>
          <w:p w14:paraId="1B3195FF" w14:textId="7F9ECFA0" w:rsidR="003D31AE" w:rsidRPr="00ED6DD6" w:rsidRDefault="003D31AE"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D6DD6">
              <w:rPr>
                <w:sz w:val="24"/>
                <w:szCs w:val="24"/>
              </w:rPr>
              <w:t>$</w:t>
            </w:r>
            <w:r w:rsidR="003A5F20" w:rsidRPr="00ED6DD6">
              <w:rPr>
                <w:sz w:val="24"/>
                <w:szCs w:val="24"/>
              </w:rPr>
              <w:t>35,948</w:t>
            </w:r>
          </w:p>
        </w:tc>
      </w:tr>
      <w:tr w:rsidR="003D31AE" w:rsidRPr="00ED6DD6" w14:paraId="5D4C02CD" w14:textId="77777777" w:rsidTr="00ED6DD6">
        <w:tc>
          <w:tcPr>
            <w:cnfStyle w:val="001000000000" w:firstRow="0" w:lastRow="0" w:firstColumn="1" w:lastColumn="0" w:oddVBand="0" w:evenVBand="0" w:oddHBand="0" w:evenHBand="0" w:firstRowFirstColumn="0" w:firstRowLastColumn="0" w:lastRowFirstColumn="0" w:lastRowLastColumn="0"/>
            <w:tcW w:w="5935" w:type="dxa"/>
          </w:tcPr>
          <w:p w14:paraId="524CFA88" w14:textId="4427777F" w:rsidR="003D31AE" w:rsidRPr="00ED6DD6" w:rsidRDefault="003D31AE" w:rsidP="003D31AE">
            <w:pPr>
              <w:spacing w:after="0" w:line="240" w:lineRule="auto"/>
              <w:rPr>
                <w:sz w:val="24"/>
                <w:szCs w:val="24"/>
              </w:rPr>
            </w:pPr>
            <w:r w:rsidRPr="00ED6DD6">
              <w:rPr>
                <w:sz w:val="24"/>
                <w:szCs w:val="24"/>
                <w:lang w:eastAsia="en-CA"/>
              </w:rPr>
              <w:t>Police Attendance at Court</w:t>
            </w:r>
            <w:r w:rsidR="007941CC" w:rsidRPr="00ED6DD6">
              <w:rPr>
                <w:sz w:val="24"/>
                <w:szCs w:val="24"/>
                <w:lang w:eastAsia="en-CA"/>
              </w:rPr>
              <w:t xml:space="preserve"> </w:t>
            </w:r>
            <w:r w:rsidR="003A5F20" w:rsidRPr="00ED6DD6">
              <w:rPr>
                <w:sz w:val="24"/>
                <w:szCs w:val="24"/>
                <w:lang w:eastAsia="en-CA"/>
              </w:rPr>
              <w:t>($443.10 per attendance for 4 attendances)</w:t>
            </w:r>
          </w:p>
        </w:tc>
        <w:tc>
          <w:tcPr>
            <w:tcW w:w="3415" w:type="dxa"/>
          </w:tcPr>
          <w:p w14:paraId="6E34090C" w14:textId="0A9033DA" w:rsidR="003D31AE" w:rsidRPr="00ED6DD6" w:rsidRDefault="003D31AE"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D6DD6">
              <w:rPr>
                <w:sz w:val="24"/>
                <w:szCs w:val="24"/>
              </w:rPr>
              <w:t>$</w:t>
            </w:r>
            <w:r w:rsidR="003A5F20" w:rsidRPr="00ED6DD6">
              <w:rPr>
                <w:sz w:val="24"/>
                <w:szCs w:val="24"/>
              </w:rPr>
              <w:t>1,772</w:t>
            </w:r>
          </w:p>
        </w:tc>
      </w:tr>
      <w:tr w:rsidR="003D31AE" w:rsidRPr="00ED6DD6" w14:paraId="033A7D70" w14:textId="77777777" w:rsidTr="00ED6DD6">
        <w:tc>
          <w:tcPr>
            <w:cnfStyle w:val="001000000000" w:firstRow="0" w:lastRow="0" w:firstColumn="1" w:lastColumn="0" w:oddVBand="0" w:evenVBand="0" w:oddHBand="0" w:evenHBand="0" w:firstRowFirstColumn="0" w:firstRowLastColumn="0" w:lastRowFirstColumn="0" w:lastRowLastColumn="0"/>
            <w:tcW w:w="5935" w:type="dxa"/>
          </w:tcPr>
          <w:p w14:paraId="1494415D" w14:textId="42840D77" w:rsidR="003D31AE" w:rsidRPr="00ED6DD6" w:rsidRDefault="003D31AE" w:rsidP="003D31AE">
            <w:pPr>
              <w:spacing w:after="0" w:line="240" w:lineRule="auto"/>
              <w:rPr>
                <w:sz w:val="24"/>
                <w:szCs w:val="24"/>
              </w:rPr>
            </w:pPr>
            <w:r w:rsidRPr="00ED6DD6">
              <w:rPr>
                <w:sz w:val="24"/>
                <w:szCs w:val="24"/>
                <w:lang w:eastAsia="en-CA"/>
              </w:rPr>
              <w:t>Drug Offence/Investigation</w:t>
            </w:r>
            <w:r w:rsidR="003A5F20" w:rsidRPr="00ED6DD6">
              <w:rPr>
                <w:sz w:val="24"/>
                <w:szCs w:val="24"/>
                <w:lang w:eastAsia="en-CA"/>
              </w:rPr>
              <w:t xml:space="preserve"> ($3,861.85 per offence/in</w:t>
            </w:r>
            <w:r w:rsidR="00ED08B9" w:rsidRPr="00ED6DD6">
              <w:rPr>
                <w:sz w:val="24"/>
                <w:szCs w:val="24"/>
                <w:lang w:eastAsia="en-CA"/>
              </w:rPr>
              <w:t xml:space="preserve">tent to traffic </w:t>
            </w:r>
            <w:r w:rsidR="003A5F20" w:rsidRPr="00ED6DD6">
              <w:rPr>
                <w:sz w:val="24"/>
                <w:szCs w:val="24"/>
                <w:lang w:eastAsia="en-CA"/>
              </w:rPr>
              <w:t>for 2 offences/in</w:t>
            </w:r>
            <w:r w:rsidR="00ED08B9" w:rsidRPr="00ED6DD6">
              <w:rPr>
                <w:sz w:val="24"/>
                <w:szCs w:val="24"/>
                <w:lang w:eastAsia="en-CA"/>
              </w:rPr>
              <w:t>tent to traffic</w:t>
            </w:r>
            <w:r w:rsidR="003A5F20" w:rsidRPr="00ED6DD6">
              <w:rPr>
                <w:sz w:val="24"/>
                <w:szCs w:val="24"/>
                <w:lang w:eastAsia="en-CA"/>
              </w:rPr>
              <w:t>)</w:t>
            </w:r>
          </w:p>
        </w:tc>
        <w:tc>
          <w:tcPr>
            <w:tcW w:w="3415" w:type="dxa"/>
          </w:tcPr>
          <w:p w14:paraId="169C3F71" w14:textId="5921D616" w:rsidR="003D31AE" w:rsidRPr="00ED6DD6" w:rsidRDefault="003D31AE"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D6DD6">
              <w:rPr>
                <w:sz w:val="24"/>
                <w:szCs w:val="24"/>
              </w:rPr>
              <w:t>$</w:t>
            </w:r>
            <w:r w:rsidR="003A5F20" w:rsidRPr="00ED6DD6">
              <w:rPr>
                <w:sz w:val="24"/>
                <w:szCs w:val="24"/>
              </w:rPr>
              <w:t>7,72</w:t>
            </w:r>
            <w:r w:rsidR="000C141F">
              <w:rPr>
                <w:sz w:val="24"/>
                <w:szCs w:val="24"/>
              </w:rPr>
              <w:t>4</w:t>
            </w:r>
          </w:p>
        </w:tc>
      </w:tr>
      <w:tr w:rsidR="003A5F20" w:rsidRPr="00ED6DD6" w14:paraId="64B7A761" w14:textId="77777777" w:rsidTr="00ED6DD6">
        <w:tc>
          <w:tcPr>
            <w:cnfStyle w:val="001000000000" w:firstRow="0" w:lastRow="0" w:firstColumn="1" w:lastColumn="0" w:oddVBand="0" w:evenVBand="0" w:oddHBand="0" w:evenHBand="0" w:firstRowFirstColumn="0" w:firstRowLastColumn="0" w:lastRowFirstColumn="0" w:lastRowLastColumn="0"/>
            <w:tcW w:w="5935" w:type="dxa"/>
          </w:tcPr>
          <w:p w14:paraId="5597DFAB" w14:textId="724375DC" w:rsidR="003A5F20" w:rsidRPr="00ED6DD6" w:rsidRDefault="003A5F20" w:rsidP="003D31AE">
            <w:pPr>
              <w:spacing w:after="0" w:line="240" w:lineRule="auto"/>
              <w:rPr>
                <w:sz w:val="24"/>
                <w:szCs w:val="24"/>
                <w:lang w:eastAsia="en-CA"/>
              </w:rPr>
            </w:pPr>
            <w:r w:rsidRPr="00ED6DD6">
              <w:rPr>
                <w:sz w:val="24"/>
                <w:szCs w:val="24"/>
                <w:lang w:eastAsia="en-CA"/>
              </w:rPr>
              <w:t>Provincial Custody ($340.59 per day for 1,030 days)</w:t>
            </w:r>
          </w:p>
        </w:tc>
        <w:tc>
          <w:tcPr>
            <w:tcW w:w="3415" w:type="dxa"/>
          </w:tcPr>
          <w:p w14:paraId="3E6C885A" w14:textId="021EE40F" w:rsidR="003A5F20" w:rsidRPr="00ED6DD6" w:rsidRDefault="003A5F20"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D6DD6">
              <w:rPr>
                <w:sz w:val="24"/>
                <w:szCs w:val="24"/>
              </w:rPr>
              <w:t>$350,80</w:t>
            </w:r>
            <w:r w:rsidR="000C141F">
              <w:rPr>
                <w:sz w:val="24"/>
                <w:szCs w:val="24"/>
              </w:rPr>
              <w:t>8</w:t>
            </w:r>
          </w:p>
        </w:tc>
      </w:tr>
      <w:tr w:rsidR="003A5F20" w:rsidRPr="00ED6DD6" w14:paraId="10910546" w14:textId="77777777" w:rsidTr="00ED6DD6">
        <w:tc>
          <w:tcPr>
            <w:cnfStyle w:val="001000000000" w:firstRow="0" w:lastRow="0" w:firstColumn="1" w:lastColumn="0" w:oddVBand="0" w:evenVBand="0" w:oddHBand="0" w:evenHBand="0" w:firstRowFirstColumn="0" w:firstRowLastColumn="0" w:lastRowFirstColumn="0" w:lastRowLastColumn="0"/>
            <w:tcW w:w="5935" w:type="dxa"/>
          </w:tcPr>
          <w:p w14:paraId="4C45829D" w14:textId="6E9F53CC" w:rsidR="003A5F20" w:rsidRPr="00ED6DD6" w:rsidRDefault="003A5F20" w:rsidP="003D31AE">
            <w:pPr>
              <w:spacing w:after="0" w:line="240" w:lineRule="auto"/>
              <w:rPr>
                <w:sz w:val="24"/>
                <w:szCs w:val="24"/>
                <w:lang w:eastAsia="en-CA"/>
              </w:rPr>
            </w:pPr>
            <w:r w:rsidRPr="00ED6DD6">
              <w:rPr>
                <w:sz w:val="24"/>
                <w:szCs w:val="24"/>
                <w:lang w:eastAsia="en-CA"/>
              </w:rPr>
              <w:t>Probation Supervision ($23.21 per day for 12,130 days)</w:t>
            </w:r>
          </w:p>
        </w:tc>
        <w:tc>
          <w:tcPr>
            <w:tcW w:w="3415" w:type="dxa"/>
          </w:tcPr>
          <w:p w14:paraId="21B0A405" w14:textId="761FD3A9" w:rsidR="003A5F20" w:rsidRPr="00ED6DD6" w:rsidRDefault="003A5F20"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D6DD6">
              <w:rPr>
                <w:sz w:val="24"/>
                <w:szCs w:val="24"/>
              </w:rPr>
              <w:t>$281,537</w:t>
            </w:r>
          </w:p>
        </w:tc>
      </w:tr>
      <w:tr w:rsidR="003D31AE" w:rsidRPr="00ED6DD6" w14:paraId="391A4A2D" w14:textId="77777777" w:rsidTr="00ED6DD6">
        <w:tc>
          <w:tcPr>
            <w:cnfStyle w:val="001000000000" w:firstRow="0" w:lastRow="0" w:firstColumn="1" w:lastColumn="0" w:oddVBand="0" w:evenVBand="0" w:oddHBand="0" w:evenHBand="0" w:firstRowFirstColumn="0" w:firstRowLastColumn="0" w:lastRowFirstColumn="0" w:lastRowLastColumn="0"/>
            <w:tcW w:w="5935" w:type="dxa"/>
          </w:tcPr>
          <w:p w14:paraId="047542CD" w14:textId="35A0CF15" w:rsidR="003D31AE" w:rsidRPr="00ED6DD6" w:rsidRDefault="003D31AE" w:rsidP="003D31AE">
            <w:pPr>
              <w:spacing w:after="0" w:line="240" w:lineRule="auto"/>
              <w:rPr>
                <w:sz w:val="24"/>
                <w:szCs w:val="24"/>
              </w:rPr>
            </w:pPr>
            <w:r w:rsidRPr="00ED6DD6">
              <w:rPr>
                <w:sz w:val="24"/>
                <w:szCs w:val="24"/>
                <w:lang w:eastAsia="en-CA"/>
              </w:rPr>
              <w:t>Assault</w:t>
            </w:r>
            <w:r w:rsidR="003A5F20" w:rsidRPr="00ED6DD6">
              <w:rPr>
                <w:sz w:val="24"/>
                <w:szCs w:val="24"/>
                <w:lang w:eastAsia="en-CA"/>
              </w:rPr>
              <w:t xml:space="preserve"> ($5,718.14 per assault for 2 assaults)</w:t>
            </w:r>
          </w:p>
        </w:tc>
        <w:tc>
          <w:tcPr>
            <w:tcW w:w="3415" w:type="dxa"/>
          </w:tcPr>
          <w:p w14:paraId="21905504" w14:textId="513A1E72" w:rsidR="0051211C" w:rsidRPr="00ED6DD6" w:rsidRDefault="003D31AE"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D6DD6">
              <w:rPr>
                <w:sz w:val="24"/>
                <w:szCs w:val="24"/>
              </w:rPr>
              <w:t>$</w:t>
            </w:r>
            <w:r w:rsidR="003A5F20" w:rsidRPr="00ED6DD6">
              <w:rPr>
                <w:sz w:val="24"/>
                <w:szCs w:val="24"/>
              </w:rPr>
              <w:t>11,436</w:t>
            </w:r>
          </w:p>
        </w:tc>
      </w:tr>
      <w:tr w:rsidR="003D31AE" w:rsidRPr="00ED6DD6" w14:paraId="279BEE8C" w14:textId="77777777" w:rsidTr="008E6517">
        <w:tc>
          <w:tcPr>
            <w:cnfStyle w:val="001000000000" w:firstRow="0" w:lastRow="0" w:firstColumn="1" w:lastColumn="0" w:oddVBand="0" w:evenVBand="0" w:oddHBand="0" w:evenHBand="0" w:firstRowFirstColumn="0" w:firstRowLastColumn="0" w:lastRowFirstColumn="0" w:lastRowLastColumn="0"/>
            <w:tcW w:w="5935" w:type="dxa"/>
          </w:tcPr>
          <w:p w14:paraId="27150B12" w14:textId="17837E30" w:rsidR="003D31AE" w:rsidRPr="00ED6DD6" w:rsidRDefault="001030DF" w:rsidP="003D31AE">
            <w:pPr>
              <w:spacing w:after="0" w:line="240" w:lineRule="auto"/>
              <w:rPr>
                <w:sz w:val="24"/>
                <w:szCs w:val="24"/>
              </w:rPr>
            </w:pPr>
            <w:r w:rsidRPr="00ED6DD6">
              <w:rPr>
                <w:sz w:val="24"/>
                <w:szCs w:val="24"/>
                <w:lang w:eastAsia="en-CA"/>
              </w:rPr>
              <w:t>Aggravated Assault</w:t>
            </w:r>
          </w:p>
        </w:tc>
        <w:tc>
          <w:tcPr>
            <w:tcW w:w="3415" w:type="dxa"/>
            <w:tcBorders>
              <w:bottom w:val="single" w:sz="8" w:space="0" w:color="467C81" w:themeColor="accent3"/>
            </w:tcBorders>
          </w:tcPr>
          <w:p w14:paraId="6D566CE1" w14:textId="3DAEE0DE" w:rsidR="003D31AE" w:rsidRPr="00ED6DD6" w:rsidRDefault="001030DF"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D6DD6">
              <w:rPr>
                <w:sz w:val="24"/>
                <w:szCs w:val="24"/>
                <w:lang w:eastAsia="en-CA"/>
              </w:rPr>
              <w:t>$</w:t>
            </w:r>
            <w:r w:rsidR="003A5F20" w:rsidRPr="00ED6DD6">
              <w:rPr>
                <w:sz w:val="24"/>
                <w:szCs w:val="24"/>
                <w:lang w:eastAsia="en-CA"/>
              </w:rPr>
              <w:t>20,097</w:t>
            </w:r>
          </w:p>
        </w:tc>
      </w:tr>
      <w:tr w:rsidR="001030DF" w:rsidRPr="00ED6DD6" w14:paraId="7ED05773" w14:textId="77777777" w:rsidTr="008E6517">
        <w:tc>
          <w:tcPr>
            <w:cnfStyle w:val="001000000000" w:firstRow="0" w:lastRow="0" w:firstColumn="1" w:lastColumn="0" w:oddVBand="0" w:evenVBand="0" w:oddHBand="0" w:evenHBand="0" w:firstRowFirstColumn="0" w:firstRowLastColumn="0" w:lastRowFirstColumn="0" w:lastRowLastColumn="0"/>
            <w:tcW w:w="5935" w:type="dxa"/>
          </w:tcPr>
          <w:p w14:paraId="0CF4EFAC" w14:textId="77B58581" w:rsidR="001030DF" w:rsidRPr="00ED6DD6" w:rsidRDefault="001030DF" w:rsidP="003D31AE">
            <w:pPr>
              <w:spacing w:after="0" w:line="240" w:lineRule="auto"/>
              <w:rPr>
                <w:sz w:val="24"/>
                <w:szCs w:val="24"/>
              </w:rPr>
            </w:pPr>
            <w:r w:rsidRPr="00ED6DD6">
              <w:rPr>
                <w:sz w:val="24"/>
                <w:szCs w:val="24"/>
                <w:lang w:eastAsia="en-CA"/>
              </w:rPr>
              <w:t>Assault Causing Bodily Harm</w:t>
            </w:r>
          </w:p>
        </w:tc>
        <w:tc>
          <w:tcPr>
            <w:tcW w:w="3415" w:type="dxa"/>
            <w:tcBorders>
              <w:bottom w:val="single" w:sz="4" w:space="0" w:color="467C81" w:themeColor="accent3"/>
            </w:tcBorders>
          </w:tcPr>
          <w:p w14:paraId="2B9B45C5" w14:textId="78F57C3D" w:rsidR="001030DF" w:rsidRPr="00ED6DD6" w:rsidRDefault="001030DF"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D6DD6">
              <w:rPr>
                <w:sz w:val="24"/>
                <w:szCs w:val="24"/>
                <w:lang w:eastAsia="en-CA"/>
              </w:rPr>
              <w:t>$</w:t>
            </w:r>
            <w:r w:rsidR="003A5F20" w:rsidRPr="00ED6DD6">
              <w:rPr>
                <w:sz w:val="24"/>
                <w:szCs w:val="24"/>
                <w:lang w:eastAsia="en-CA"/>
              </w:rPr>
              <w:t>20,097</w:t>
            </w:r>
          </w:p>
        </w:tc>
      </w:tr>
      <w:tr w:rsidR="001030DF" w:rsidRPr="00ED6DD6" w14:paraId="52834DDB" w14:textId="77777777" w:rsidTr="008E6517">
        <w:tc>
          <w:tcPr>
            <w:cnfStyle w:val="001000000000" w:firstRow="0" w:lastRow="0" w:firstColumn="1" w:lastColumn="0" w:oddVBand="0" w:evenVBand="0" w:oddHBand="0" w:evenHBand="0" w:firstRowFirstColumn="0" w:firstRowLastColumn="0" w:lastRowFirstColumn="0" w:lastRowLastColumn="0"/>
            <w:tcW w:w="5935" w:type="dxa"/>
          </w:tcPr>
          <w:p w14:paraId="356131BE" w14:textId="27953737" w:rsidR="001030DF" w:rsidRPr="00ED6DD6" w:rsidRDefault="003A5F20" w:rsidP="003D31AE">
            <w:pPr>
              <w:spacing w:after="0" w:line="240" w:lineRule="auto"/>
              <w:rPr>
                <w:sz w:val="24"/>
                <w:szCs w:val="24"/>
              </w:rPr>
            </w:pPr>
            <w:r w:rsidRPr="00ED6DD6">
              <w:rPr>
                <w:sz w:val="24"/>
                <w:szCs w:val="24"/>
                <w:lang w:eastAsia="en-CA"/>
              </w:rPr>
              <w:t>Uttering Threats</w:t>
            </w:r>
          </w:p>
        </w:tc>
        <w:tc>
          <w:tcPr>
            <w:tcW w:w="3415" w:type="dxa"/>
            <w:tcBorders>
              <w:top w:val="single" w:sz="4" w:space="0" w:color="467C81" w:themeColor="accent3"/>
            </w:tcBorders>
          </w:tcPr>
          <w:p w14:paraId="6CBE1046" w14:textId="7CAC16F5" w:rsidR="001030DF" w:rsidRPr="00ED6DD6" w:rsidRDefault="003A5F20"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D6DD6">
              <w:rPr>
                <w:sz w:val="24"/>
                <w:szCs w:val="24"/>
                <w:lang w:eastAsia="en-CA"/>
              </w:rPr>
              <w:t>$5,087</w:t>
            </w:r>
          </w:p>
        </w:tc>
      </w:tr>
      <w:tr w:rsidR="001030DF" w:rsidRPr="00ED6DD6" w14:paraId="4F402299" w14:textId="77777777" w:rsidTr="00ED6DD6">
        <w:tc>
          <w:tcPr>
            <w:cnfStyle w:val="001000000000" w:firstRow="0" w:lastRow="0" w:firstColumn="1" w:lastColumn="0" w:oddVBand="0" w:evenVBand="0" w:oddHBand="0" w:evenHBand="0" w:firstRowFirstColumn="0" w:firstRowLastColumn="0" w:lastRowFirstColumn="0" w:lastRowLastColumn="0"/>
            <w:tcW w:w="5935" w:type="dxa"/>
          </w:tcPr>
          <w:p w14:paraId="241B3F9C" w14:textId="5B65726C" w:rsidR="001030DF" w:rsidRPr="00ED6DD6" w:rsidRDefault="001030DF" w:rsidP="001030DF">
            <w:pPr>
              <w:spacing w:after="0" w:line="240" w:lineRule="auto"/>
              <w:rPr>
                <w:sz w:val="24"/>
                <w:szCs w:val="24"/>
              </w:rPr>
            </w:pPr>
            <w:r w:rsidRPr="00ED6DD6">
              <w:rPr>
                <w:sz w:val="24"/>
                <w:szCs w:val="24"/>
                <w:lang w:eastAsia="en-CA"/>
              </w:rPr>
              <w:t>Federal Prison (</w:t>
            </w:r>
            <w:r w:rsidR="003A5F20" w:rsidRPr="00ED6DD6">
              <w:rPr>
                <w:sz w:val="24"/>
                <w:szCs w:val="24"/>
                <w:lang w:eastAsia="en-CA"/>
              </w:rPr>
              <w:t>$447.16 per day for 850 days</w:t>
            </w:r>
            <w:r w:rsidRPr="00ED6DD6">
              <w:rPr>
                <w:sz w:val="24"/>
                <w:szCs w:val="24"/>
                <w:lang w:eastAsia="en-CA"/>
              </w:rPr>
              <w:t>)</w:t>
            </w:r>
          </w:p>
        </w:tc>
        <w:tc>
          <w:tcPr>
            <w:tcW w:w="3415" w:type="dxa"/>
          </w:tcPr>
          <w:p w14:paraId="446419D7" w14:textId="70F9BD4C" w:rsidR="0051211C" w:rsidRPr="00ED6DD6" w:rsidRDefault="001030DF" w:rsidP="00C36E2F">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D6DD6">
              <w:rPr>
                <w:sz w:val="24"/>
                <w:szCs w:val="24"/>
                <w:lang w:eastAsia="en-CA"/>
              </w:rPr>
              <w:t>$</w:t>
            </w:r>
            <w:r w:rsidR="003A5F20" w:rsidRPr="00ED6DD6">
              <w:rPr>
                <w:sz w:val="24"/>
                <w:szCs w:val="24"/>
                <w:lang w:eastAsia="en-CA"/>
              </w:rPr>
              <w:t>380,086</w:t>
            </w:r>
          </w:p>
        </w:tc>
      </w:tr>
      <w:tr w:rsidR="001030DF" w:rsidRPr="00ED6DD6" w14:paraId="3306E291" w14:textId="77777777" w:rsidTr="00ED6DD6">
        <w:tc>
          <w:tcPr>
            <w:cnfStyle w:val="001000000000" w:firstRow="0" w:lastRow="0" w:firstColumn="1" w:lastColumn="0" w:oddVBand="0" w:evenVBand="0" w:oddHBand="0" w:evenHBand="0" w:firstRowFirstColumn="0" w:firstRowLastColumn="0" w:lastRowFirstColumn="0" w:lastRowLastColumn="0"/>
            <w:tcW w:w="5935" w:type="dxa"/>
          </w:tcPr>
          <w:p w14:paraId="6A7C2B16" w14:textId="77777777" w:rsidR="001030DF" w:rsidRPr="008042F9" w:rsidRDefault="001030DF" w:rsidP="008042F9">
            <w:pPr>
              <w:spacing w:after="0" w:line="240" w:lineRule="auto"/>
              <w:jc w:val="right"/>
              <w:rPr>
                <w:b/>
                <w:bCs/>
                <w:sz w:val="24"/>
                <w:szCs w:val="24"/>
              </w:rPr>
            </w:pPr>
            <w:r w:rsidRPr="008042F9">
              <w:rPr>
                <w:b/>
                <w:bCs/>
                <w:sz w:val="24"/>
                <w:szCs w:val="24"/>
              </w:rPr>
              <w:t>Period Total</w:t>
            </w:r>
          </w:p>
        </w:tc>
        <w:tc>
          <w:tcPr>
            <w:tcW w:w="3415" w:type="dxa"/>
          </w:tcPr>
          <w:p w14:paraId="388DCD39" w14:textId="6EE837C1" w:rsidR="001030DF" w:rsidRPr="00ED6DD6" w:rsidRDefault="0051211C" w:rsidP="00C36E2F">
            <w:pPr>
              <w:spacing w:after="0" w:line="240" w:lineRule="auto"/>
              <w:cnfStyle w:val="000000000000" w:firstRow="0" w:lastRow="0" w:firstColumn="0" w:lastColumn="0" w:oddVBand="0" w:evenVBand="0" w:oddHBand="0" w:evenHBand="0" w:firstRowFirstColumn="0" w:firstRowLastColumn="0" w:lastRowFirstColumn="0" w:lastRowLastColumn="0"/>
              <w:rPr>
                <w:b/>
                <w:bCs/>
                <w:sz w:val="24"/>
                <w:szCs w:val="24"/>
              </w:rPr>
            </w:pPr>
            <w:r w:rsidRPr="00ED6DD6">
              <w:rPr>
                <w:b/>
                <w:bCs/>
                <w:sz w:val="24"/>
                <w:szCs w:val="24"/>
              </w:rPr>
              <w:t>$</w:t>
            </w:r>
            <w:r w:rsidR="003A5F20" w:rsidRPr="00ED6DD6">
              <w:rPr>
                <w:b/>
                <w:bCs/>
                <w:sz w:val="24"/>
                <w:szCs w:val="24"/>
              </w:rPr>
              <w:t>1,124,73</w:t>
            </w:r>
            <w:r w:rsidR="0089587E">
              <w:rPr>
                <w:b/>
                <w:bCs/>
                <w:sz w:val="24"/>
                <w:szCs w:val="24"/>
              </w:rPr>
              <w:t>8</w:t>
            </w:r>
          </w:p>
        </w:tc>
      </w:tr>
    </w:tbl>
    <w:p w14:paraId="23CED5C8" w14:textId="77777777" w:rsidR="00C80AFA" w:rsidRDefault="00C80AFA" w:rsidP="00C80AFA">
      <w:pPr>
        <w:pStyle w:val="Heading2"/>
        <w:sectPr w:rsidR="00C80AFA" w:rsidSect="008C3A80">
          <w:footerReference w:type="default" r:id="rId29"/>
          <w:headerReference w:type="first" r:id="rId30"/>
          <w:footerReference w:type="first" r:id="rId31"/>
          <w:pgSz w:w="12240" w:h="15840" w:code="1"/>
          <w:pgMar w:top="1440" w:right="1440" w:bottom="1440" w:left="1440" w:header="720" w:footer="0" w:gutter="0"/>
          <w:cols w:space="720"/>
          <w:titlePg/>
          <w:docGrid w:linePitch="360"/>
        </w:sectPr>
      </w:pPr>
    </w:p>
    <w:p w14:paraId="62A26DC4" w14:textId="12CD5BEF" w:rsidR="00C80AFA" w:rsidRDefault="00C80AFA" w:rsidP="00C80AFA">
      <w:pPr>
        <w:pStyle w:val="Heading2"/>
      </w:pPr>
      <w:bookmarkStart w:id="24" w:name="_Toc201674484"/>
      <w:r>
        <w:t>Annex B: Cost Elements</w:t>
      </w:r>
      <w:bookmarkEnd w:id="24"/>
      <w:r>
        <w:t xml:space="preserve"> </w:t>
      </w:r>
    </w:p>
    <w:tbl>
      <w:tblPr>
        <w:tblStyle w:val="RD"/>
        <w:tblW w:w="13205" w:type="dxa"/>
        <w:tblLook w:val="04A0" w:firstRow="1" w:lastRow="0" w:firstColumn="1" w:lastColumn="0" w:noHBand="0" w:noVBand="1"/>
      </w:tblPr>
      <w:tblGrid>
        <w:gridCol w:w="3060"/>
        <w:gridCol w:w="1710"/>
        <w:gridCol w:w="8435"/>
      </w:tblGrid>
      <w:tr w:rsidR="00C80AFA" w:rsidRPr="00ED6DD6" w14:paraId="526C11EF" w14:textId="155627AC" w:rsidTr="004C5F3F">
        <w:trPr>
          <w:cnfStyle w:val="100000000000" w:firstRow="1" w:lastRow="0" w:firstColumn="0" w:lastColumn="0" w:oddVBand="0" w:evenVBand="0" w:oddHBand="0" w:evenHBand="0" w:firstRowFirstColumn="0" w:firstRowLastColumn="0" w:lastRowFirstColumn="0" w:lastRowLastColumn="0"/>
          <w:trHeight w:val="1432"/>
        </w:trPr>
        <w:tc>
          <w:tcPr>
            <w:cnfStyle w:val="001000000000" w:firstRow="0" w:lastRow="0" w:firstColumn="1" w:lastColumn="0" w:oddVBand="0" w:evenVBand="0" w:oddHBand="0" w:evenHBand="0" w:firstRowFirstColumn="0" w:firstRowLastColumn="0" w:lastRowFirstColumn="0" w:lastRowLastColumn="0"/>
            <w:tcW w:w="3060" w:type="dxa"/>
          </w:tcPr>
          <w:p w14:paraId="704571F1" w14:textId="77777777" w:rsidR="00C80AFA" w:rsidRPr="00ED6DD6" w:rsidRDefault="00C80AFA" w:rsidP="00726F95">
            <w:pPr>
              <w:spacing w:after="0" w:line="240" w:lineRule="auto"/>
              <w:rPr>
                <w:sz w:val="24"/>
                <w:szCs w:val="24"/>
              </w:rPr>
            </w:pPr>
            <w:r w:rsidRPr="00ED6DD6">
              <w:rPr>
                <w:sz w:val="24"/>
                <w:szCs w:val="24"/>
              </w:rPr>
              <w:t>Line Item</w:t>
            </w:r>
          </w:p>
        </w:tc>
        <w:tc>
          <w:tcPr>
            <w:tcW w:w="1710" w:type="dxa"/>
          </w:tcPr>
          <w:p w14:paraId="38839444" w14:textId="1391DF50" w:rsidR="00C80AFA" w:rsidRPr="00ED6DD6" w:rsidRDefault="00C80AFA" w:rsidP="00726F95">
            <w:pPr>
              <w:spacing w:after="0" w:line="240" w:lineRule="auto"/>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Cost</w:t>
            </w:r>
            <w:r w:rsidR="008D276B">
              <w:rPr>
                <w:sz w:val="24"/>
                <w:szCs w:val="24"/>
              </w:rPr>
              <w:t>s</w:t>
            </w:r>
            <w:r>
              <w:rPr>
                <w:sz w:val="24"/>
                <w:szCs w:val="24"/>
              </w:rPr>
              <w:t xml:space="preserve"> (in 2025 Canadian Dollars)</w:t>
            </w:r>
          </w:p>
        </w:tc>
        <w:tc>
          <w:tcPr>
            <w:tcW w:w="8435" w:type="dxa"/>
          </w:tcPr>
          <w:p w14:paraId="253CAD0E" w14:textId="34058F3E" w:rsidR="00C80AFA" w:rsidRDefault="00C80AFA" w:rsidP="00726F95">
            <w:pPr>
              <w:spacing w:after="0" w:line="240" w:lineRule="auto"/>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Description and source</w:t>
            </w:r>
          </w:p>
        </w:tc>
      </w:tr>
      <w:tr w:rsidR="00C80AFA" w:rsidRPr="00ED6DD6" w14:paraId="5A434C19" w14:textId="23C7B513" w:rsidTr="004C5F3F">
        <w:trPr>
          <w:trHeight w:val="458"/>
        </w:trPr>
        <w:tc>
          <w:tcPr>
            <w:cnfStyle w:val="001000000000" w:firstRow="0" w:lastRow="0" w:firstColumn="1" w:lastColumn="0" w:oddVBand="0" w:evenVBand="0" w:oddHBand="0" w:evenHBand="0" w:firstRowFirstColumn="0" w:firstRowLastColumn="0" w:lastRowFirstColumn="0" w:lastRowLastColumn="0"/>
            <w:tcW w:w="3060" w:type="dxa"/>
          </w:tcPr>
          <w:p w14:paraId="16F8D1AC" w14:textId="25202EAE" w:rsidR="00C80AFA" w:rsidRPr="00ED6DD6" w:rsidRDefault="00C80AFA" w:rsidP="00726F95">
            <w:pPr>
              <w:spacing w:after="0" w:line="240" w:lineRule="auto"/>
              <w:rPr>
                <w:sz w:val="24"/>
                <w:szCs w:val="24"/>
              </w:rPr>
            </w:pPr>
            <w:r w:rsidRPr="00ED6DD6">
              <w:rPr>
                <w:sz w:val="24"/>
                <w:szCs w:val="24"/>
              </w:rPr>
              <w:t>Police Call for Service</w:t>
            </w:r>
          </w:p>
        </w:tc>
        <w:tc>
          <w:tcPr>
            <w:tcW w:w="1710" w:type="dxa"/>
          </w:tcPr>
          <w:p w14:paraId="4DC8F995" w14:textId="43061C6A" w:rsidR="00C80AFA" w:rsidRPr="00ED6DD6" w:rsidRDefault="00C80AFA"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lang w:eastAsia="en-CA"/>
              </w:rPr>
            </w:pPr>
            <w:r>
              <w:rPr>
                <w:sz w:val="24"/>
                <w:szCs w:val="24"/>
                <w:lang w:eastAsia="en-CA"/>
              </w:rPr>
              <w:t>$175.62</w:t>
            </w:r>
          </w:p>
        </w:tc>
        <w:tc>
          <w:tcPr>
            <w:tcW w:w="8435" w:type="dxa"/>
          </w:tcPr>
          <w:p w14:paraId="3F7A5C37" w14:textId="311A9257" w:rsidR="00C80AFA" w:rsidRPr="00ED6DD6" w:rsidRDefault="004C5F3F" w:rsidP="00726F95">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lang w:eastAsia="en-CA"/>
              </w:rPr>
            </w:pPr>
            <w:r>
              <w:rPr>
                <w:sz w:val="24"/>
                <w:szCs w:val="24"/>
                <w:lang w:eastAsia="en-CA"/>
              </w:rPr>
              <w:t>Calculated based on the 202</w:t>
            </w:r>
            <w:r w:rsidR="00070C43">
              <w:rPr>
                <w:sz w:val="24"/>
                <w:szCs w:val="24"/>
                <w:lang w:eastAsia="en-CA"/>
              </w:rPr>
              <w:t>4</w:t>
            </w:r>
            <w:r>
              <w:rPr>
                <w:sz w:val="24"/>
                <w:szCs w:val="24"/>
                <w:lang w:eastAsia="en-CA"/>
              </w:rPr>
              <w:t xml:space="preserve"> estimated property cost ($348) from the Ontario Provincial Police (OPP) municipal policing cost comparison chart (Ontario Provincial Police, 202</w:t>
            </w:r>
            <w:r w:rsidR="00D81B94">
              <w:rPr>
                <w:sz w:val="24"/>
                <w:szCs w:val="24"/>
                <w:lang w:eastAsia="en-CA"/>
              </w:rPr>
              <w:t>5</w:t>
            </w:r>
            <w:r>
              <w:rPr>
                <w:sz w:val="24"/>
                <w:szCs w:val="24"/>
                <w:lang w:eastAsia="en-CA"/>
              </w:rPr>
              <w:t>)</w:t>
            </w:r>
            <w:r w:rsidR="00D81B94">
              <w:rPr>
                <w:sz w:val="24"/>
                <w:szCs w:val="24"/>
                <w:lang w:eastAsia="en-CA"/>
              </w:rPr>
              <w:t xml:space="preserve">, multiple by </w:t>
            </w:r>
            <w:r>
              <w:rPr>
                <w:sz w:val="24"/>
                <w:szCs w:val="24"/>
                <w:lang w:eastAsia="en-CA"/>
              </w:rPr>
              <w:t>the</w:t>
            </w:r>
            <w:r w:rsidR="00D81B94">
              <w:rPr>
                <w:sz w:val="24"/>
                <w:szCs w:val="24"/>
                <w:lang w:eastAsia="en-CA"/>
              </w:rPr>
              <w:t xml:space="preserve"> proportion of municipal workload in detachments accounted for by </w:t>
            </w:r>
            <w:r>
              <w:rPr>
                <w:sz w:val="24"/>
                <w:szCs w:val="24"/>
                <w:lang w:eastAsia="en-CA"/>
              </w:rPr>
              <w:t xml:space="preserve">calls for service in 2024. Therefore, the cost of a Police Call for Service was </w:t>
            </w:r>
            <w:r w:rsidR="00D81B94">
              <w:rPr>
                <w:sz w:val="24"/>
                <w:szCs w:val="24"/>
                <w:lang w:eastAsia="en-CA"/>
              </w:rPr>
              <w:t>348*</w:t>
            </w:r>
            <w:r w:rsidR="00F87FD6">
              <w:rPr>
                <w:sz w:val="24"/>
                <w:szCs w:val="24"/>
                <w:lang w:eastAsia="en-CA"/>
              </w:rPr>
              <w:t>0</w:t>
            </w:r>
            <w:r w:rsidR="00D81B94">
              <w:rPr>
                <w:sz w:val="24"/>
                <w:szCs w:val="24"/>
                <w:lang w:eastAsia="en-CA"/>
              </w:rPr>
              <w:t>.496 = $17</w:t>
            </w:r>
            <w:r w:rsidR="00070C43">
              <w:rPr>
                <w:sz w:val="24"/>
                <w:szCs w:val="24"/>
                <w:lang w:eastAsia="en-CA"/>
              </w:rPr>
              <w:t>2</w:t>
            </w:r>
            <w:r w:rsidR="00D81B94">
              <w:rPr>
                <w:sz w:val="24"/>
                <w:szCs w:val="24"/>
                <w:lang w:eastAsia="en-CA"/>
              </w:rPr>
              <w:t>.62 (per call)</w:t>
            </w:r>
            <w:r w:rsidR="00070C43">
              <w:rPr>
                <w:sz w:val="24"/>
                <w:szCs w:val="24"/>
                <w:lang w:eastAsia="en-CA"/>
              </w:rPr>
              <w:t xml:space="preserve"> in 2024</w:t>
            </w:r>
            <w:r w:rsidR="00D81B94">
              <w:rPr>
                <w:sz w:val="24"/>
                <w:szCs w:val="24"/>
                <w:lang w:eastAsia="en-CA"/>
              </w:rPr>
              <w:t>.</w:t>
            </w:r>
            <w:r>
              <w:rPr>
                <w:sz w:val="24"/>
                <w:szCs w:val="24"/>
                <w:lang w:eastAsia="en-CA"/>
              </w:rPr>
              <w:t xml:space="preserve"> </w:t>
            </w:r>
          </w:p>
        </w:tc>
      </w:tr>
      <w:tr w:rsidR="00C80AFA" w:rsidRPr="00ED6DD6" w14:paraId="7FB38CDE" w14:textId="54307A4D" w:rsidTr="004C5F3F">
        <w:trPr>
          <w:trHeight w:val="458"/>
        </w:trPr>
        <w:tc>
          <w:tcPr>
            <w:cnfStyle w:val="001000000000" w:firstRow="0" w:lastRow="0" w:firstColumn="1" w:lastColumn="0" w:oddVBand="0" w:evenVBand="0" w:oddHBand="0" w:evenHBand="0" w:firstRowFirstColumn="0" w:firstRowLastColumn="0" w:lastRowFirstColumn="0" w:lastRowLastColumn="0"/>
            <w:tcW w:w="3060" w:type="dxa"/>
          </w:tcPr>
          <w:p w14:paraId="62CB31B3" w14:textId="77777777" w:rsidR="00C80AFA" w:rsidRPr="00ED6DD6" w:rsidRDefault="00C80AFA" w:rsidP="00726F95">
            <w:pPr>
              <w:spacing w:after="0" w:line="240" w:lineRule="auto"/>
              <w:rPr>
                <w:sz w:val="24"/>
                <w:szCs w:val="24"/>
              </w:rPr>
            </w:pPr>
            <w:r w:rsidRPr="00ED6DD6">
              <w:rPr>
                <w:sz w:val="24"/>
                <w:szCs w:val="24"/>
              </w:rPr>
              <w:t>Child and Family Services Investigation</w:t>
            </w:r>
          </w:p>
        </w:tc>
        <w:tc>
          <w:tcPr>
            <w:tcW w:w="1710" w:type="dxa"/>
          </w:tcPr>
          <w:p w14:paraId="685C205E" w14:textId="6FE01F24" w:rsidR="00C80AFA" w:rsidRPr="00ED6DD6" w:rsidRDefault="00C80AFA"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lang w:eastAsia="en-CA"/>
              </w:rPr>
            </w:pPr>
            <w:r>
              <w:rPr>
                <w:sz w:val="24"/>
                <w:szCs w:val="24"/>
                <w:lang w:eastAsia="en-CA"/>
              </w:rPr>
              <w:t>$7,809.37</w:t>
            </w:r>
          </w:p>
        </w:tc>
        <w:tc>
          <w:tcPr>
            <w:tcW w:w="8435" w:type="dxa"/>
          </w:tcPr>
          <w:p w14:paraId="62D0D162" w14:textId="3C388F0B" w:rsidR="00C80AFA" w:rsidRPr="00ED6DD6" w:rsidRDefault="00D81B94" w:rsidP="00726F95">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lang w:eastAsia="en-CA"/>
              </w:rPr>
            </w:pPr>
            <w:r>
              <w:rPr>
                <w:sz w:val="24"/>
                <w:szCs w:val="24"/>
                <w:lang w:eastAsia="en-CA"/>
              </w:rPr>
              <w:t>Calculated by adding the 2024 cost of non-case services ($844,316), case services ($289,115), and salaries ($32,861,589) from the Children’s Aid Society of Ottawa (2024</w:t>
            </w:r>
            <w:r w:rsidR="005F2367">
              <w:rPr>
                <w:sz w:val="24"/>
                <w:szCs w:val="24"/>
                <w:lang w:eastAsia="en-CA"/>
              </w:rPr>
              <w:t>a</w:t>
            </w:r>
            <w:r>
              <w:rPr>
                <w:sz w:val="24"/>
                <w:szCs w:val="24"/>
                <w:lang w:eastAsia="en-CA"/>
              </w:rPr>
              <w:t xml:space="preserve">), and then dividing by the number of child protection assessments in 2023/2024 (4,429). </w:t>
            </w:r>
            <w:r w:rsidR="00070C43">
              <w:rPr>
                <w:sz w:val="24"/>
                <w:szCs w:val="24"/>
                <w:lang w:eastAsia="en-CA"/>
              </w:rPr>
              <w:t>This resulted in a cost of $7,675.55 in 2024.</w:t>
            </w:r>
          </w:p>
        </w:tc>
      </w:tr>
      <w:tr w:rsidR="00C80AFA" w:rsidRPr="00ED6DD6" w14:paraId="4996E662" w14:textId="7FFD8EA4" w:rsidTr="004C5F3F">
        <w:trPr>
          <w:trHeight w:val="449"/>
        </w:trPr>
        <w:tc>
          <w:tcPr>
            <w:cnfStyle w:val="001000000000" w:firstRow="0" w:lastRow="0" w:firstColumn="1" w:lastColumn="0" w:oddVBand="0" w:evenVBand="0" w:oddHBand="0" w:evenHBand="0" w:firstRowFirstColumn="0" w:firstRowLastColumn="0" w:lastRowFirstColumn="0" w:lastRowLastColumn="0"/>
            <w:tcW w:w="3060" w:type="dxa"/>
          </w:tcPr>
          <w:p w14:paraId="26302B7E" w14:textId="77777777" w:rsidR="00C80AFA" w:rsidRPr="00ED6DD6" w:rsidRDefault="00C80AFA" w:rsidP="00726F95">
            <w:pPr>
              <w:spacing w:after="0" w:line="240" w:lineRule="auto"/>
              <w:rPr>
                <w:sz w:val="24"/>
                <w:szCs w:val="24"/>
              </w:rPr>
            </w:pPr>
            <w:r w:rsidRPr="00ED6DD6">
              <w:rPr>
                <w:sz w:val="24"/>
                <w:szCs w:val="24"/>
              </w:rPr>
              <w:t>Child Services Home Visits</w:t>
            </w:r>
          </w:p>
        </w:tc>
        <w:tc>
          <w:tcPr>
            <w:tcW w:w="1710" w:type="dxa"/>
          </w:tcPr>
          <w:p w14:paraId="4BFF79D1" w14:textId="60D469FE" w:rsidR="00C80AFA" w:rsidRPr="00ED6DD6" w:rsidRDefault="00C80AFA"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lang w:eastAsia="en-CA"/>
              </w:rPr>
            </w:pPr>
            <w:r>
              <w:rPr>
                <w:sz w:val="24"/>
                <w:szCs w:val="24"/>
                <w:lang w:eastAsia="en-CA"/>
              </w:rPr>
              <w:t>$57,655.85</w:t>
            </w:r>
          </w:p>
        </w:tc>
        <w:tc>
          <w:tcPr>
            <w:tcW w:w="8435" w:type="dxa"/>
          </w:tcPr>
          <w:p w14:paraId="3D5614F3" w14:textId="4FF31CAD" w:rsidR="00C80AFA" w:rsidRPr="00ED6DD6" w:rsidRDefault="00070C43" w:rsidP="00726F95">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lang w:eastAsia="en-CA"/>
              </w:rPr>
            </w:pPr>
            <w:r>
              <w:rPr>
                <w:sz w:val="24"/>
                <w:szCs w:val="24"/>
                <w:lang w:eastAsia="en-CA"/>
              </w:rPr>
              <w:t xml:space="preserve">Calculated by adding the </w:t>
            </w:r>
            <w:r w:rsidR="00837EDE">
              <w:rPr>
                <w:sz w:val="24"/>
                <w:szCs w:val="24"/>
                <w:lang w:eastAsia="en-CA"/>
              </w:rPr>
              <w:t>2024 cost of case services ($289,115) and salaries ($32,861,589) from the Children’s Aid Society of Ottawa (2024</w:t>
            </w:r>
            <w:r w:rsidR="005F2367">
              <w:rPr>
                <w:sz w:val="24"/>
                <w:szCs w:val="24"/>
                <w:lang w:eastAsia="en-CA"/>
              </w:rPr>
              <w:t>b</w:t>
            </w:r>
            <w:r w:rsidR="00837EDE">
              <w:rPr>
                <w:sz w:val="24"/>
                <w:szCs w:val="24"/>
                <w:lang w:eastAsia="en-CA"/>
              </w:rPr>
              <w:t xml:space="preserve">), and dividing the sum by the number of ongoing protection cases (585). This resulted in a cost of $56,667.87 in 2024. </w:t>
            </w:r>
          </w:p>
        </w:tc>
      </w:tr>
      <w:tr w:rsidR="00C80AFA" w:rsidRPr="00ED6DD6" w14:paraId="6D906AE8" w14:textId="2A6E935B" w:rsidTr="008E6517">
        <w:trPr>
          <w:trHeight w:val="458"/>
        </w:trPr>
        <w:tc>
          <w:tcPr>
            <w:cnfStyle w:val="001000000000" w:firstRow="0" w:lastRow="0" w:firstColumn="1" w:lastColumn="0" w:oddVBand="0" w:evenVBand="0" w:oddHBand="0" w:evenHBand="0" w:firstRowFirstColumn="0" w:firstRowLastColumn="0" w:lastRowFirstColumn="0" w:lastRowLastColumn="0"/>
            <w:tcW w:w="3060" w:type="dxa"/>
          </w:tcPr>
          <w:p w14:paraId="3D11168B" w14:textId="54EB2E5A" w:rsidR="00C80AFA" w:rsidRPr="00C80AFA" w:rsidRDefault="00C80AFA" w:rsidP="00C80AFA">
            <w:pPr>
              <w:spacing w:after="0" w:line="240" w:lineRule="auto"/>
              <w:rPr>
                <w:sz w:val="24"/>
                <w:szCs w:val="24"/>
              </w:rPr>
            </w:pPr>
            <w:r w:rsidRPr="00C80AFA">
              <w:rPr>
                <w:sz w:val="24"/>
                <w:szCs w:val="24"/>
              </w:rPr>
              <w:t>Emergency Room Visit</w:t>
            </w:r>
          </w:p>
        </w:tc>
        <w:tc>
          <w:tcPr>
            <w:tcW w:w="1710" w:type="dxa"/>
            <w:tcBorders>
              <w:bottom w:val="single" w:sz="8" w:space="0" w:color="467C81" w:themeColor="accent3"/>
            </w:tcBorders>
          </w:tcPr>
          <w:p w14:paraId="186E8646" w14:textId="3C9FE5CD" w:rsidR="00C80AFA" w:rsidRPr="00C80AFA" w:rsidRDefault="00E27E56"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t>
            </w:r>
            <w:r w:rsidR="00C80AFA" w:rsidRPr="00C80AFA">
              <w:rPr>
                <w:sz w:val="24"/>
                <w:szCs w:val="24"/>
              </w:rPr>
              <w:t>1083.12</w:t>
            </w:r>
          </w:p>
        </w:tc>
        <w:tc>
          <w:tcPr>
            <w:tcW w:w="8435" w:type="dxa"/>
            <w:tcBorders>
              <w:bottom w:val="single" w:sz="8" w:space="0" w:color="467C81" w:themeColor="accent3"/>
            </w:tcBorders>
          </w:tcPr>
          <w:p w14:paraId="6F17E52B" w14:textId="793243D4" w:rsidR="00C80AFA" w:rsidRPr="00C80AFA" w:rsidRDefault="00837EDE" w:rsidP="00726F95">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The cost for an emergency room visit at the Queensway Carleton Hospital in 2021 was $930.00 for non-residents of Canada – of which the non-resident fees reflect the unsubsidized, real visit costs. </w:t>
            </w:r>
          </w:p>
        </w:tc>
      </w:tr>
      <w:tr w:rsidR="00C80AFA" w:rsidRPr="00ED6DD6" w14:paraId="2A999A5E" w14:textId="77777777" w:rsidTr="008E6517">
        <w:trPr>
          <w:trHeight w:val="458"/>
        </w:trPr>
        <w:tc>
          <w:tcPr>
            <w:cnfStyle w:val="001000000000" w:firstRow="0" w:lastRow="0" w:firstColumn="1" w:lastColumn="0" w:oddVBand="0" w:evenVBand="0" w:oddHBand="0" w:evenHBand="0" w:firstRowFirstColumn="0" w:firstRowLastColumn="0" w:lastRowFirstColumn="0" w:lastRowLastColumn="0"/>
            <w:tcW w:w="3060" w:type="dxa"/>
          </w:tcPr>
          <w:p w14:paraId="47D4D859" w14:textId="7B4D30F1" w:rsidR="00C80AFA" w:rsidRPr="00C80AFA" w:rsidRDefault="00C80AFA" w:rsidP="00C80AFA">
            <w:pPr>
              <w:spacing w:after="0" w:line="240" w:lineRule="auto"/>
              <w:rPr>
                <w:sz w:val="24"/>
                <w:szCs w:val="24"/>
              </w:rPr>
            </w:pPr>
            <w:r w:rsidRPr="00ED6DD6">
              <w:rPr>
                <w:sz w:val="24"/>
                <w:szCs w:val="24"/>
              </w:rPr>
              <w:t xml:space="preserve">Child Custody Hearing </w:t>
            </w:r>
          </w:p>
        </w:tc>
        <w:tc>
          <w:tcPr>
            <w:tcW w:w="1710" w:type="dxa"/>
            <w:tcBorders>
              <w:bottom w:val="single" w:sz="4" w:space="0" w:color="467C81" w:themeColor="accent3"/>
            </w:tcBorders>
          </w:tcPr>
          <w:p w14:paraId="4B7CB3DC" w14:textId="30BE2254" w:rsidR="00C80AFA" w:rsidRPr="00C80AFA" w:rsidRDefault="004C5F3F"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$14,558.09</w:t>
            </w:r>
          </w:p>
        </w:tc>
        <w:tc>
          <w:tcPr>
            <w:tcW w:w="8435" w:type="dxa"/>
            <w:tcBorders>
              <w:bottom w:val="single" w:sz="4" w:space="0" w:color="467C81" w:themeColor="accent3"/>
            </w:tcBorders>
          </w:tcPr>
          <w:p w14:paraId="0A0CDD7C" w14:textId="67B8B2D8" w:rsidR="00C80AFA" w:rsidRPr="00E27E56" w:rsidRDefault="00837EDE" w:rsidP="00C80AF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27E56">
              <w:rPr>
                <w:sz w:val="24"/>
                <w:szCs w:val="24"/>
              </w:rPr>
              <w:t>The cost was determined by estimating the median cost for the median length of a trial based on the costs and trial lengths of several sources.</w:t>
            </w:r>
            <w:r w:rsidRPr="00E27E56">
              <w:rPr>
                <w:rStyle w:val="EndnoteReference"/>
                <w:sz w:val="24"/>
                <w:szCs w:val="24"/>
              </w:rPr>
              <w:endnoteReference w:id="2"/>
            </w:r>
            <w:r w:rsidR="009004B4" w:rsidRPr="00E27E56">
              <w:rPr>
                <w:sz w:val="24"/>
                <w:szCs w:val="24"/>
              </w:rPr>
              <w:t xml:space="preserve"> This resulted in a median cost value per day of trial of $12,500 in 2021. This cost estimate relates only to the cost of preparation for an attendance at the trial itself. It does not include the costs of commencing an action, attending the case conference, examinations for discovery, document disclosure, interim applications, the cost of disbursement or taxes. Regarding auxiliary costs, they are estimated to range from $500.00 to $5,000.00 or more</w:t>
            </w:r>
            <w:r w:rsidR="00F3289F" w:rsidRPr="00E27E56">
              <w:rPr>
                <w:sz w:val="24"/>
                <w:szCs w:val="24"/>
              </w:rPr>
              <w:t xml:space="preserve"> (Lemieux Litigation, 2018)</w:t>
            </w:r>
            <w:r w:rsidR="009004B4" w:rsidRPr="00E27E56">
              <w:rPr>
                <w:sz w:val="24"/>
                <w:szCs w:val="24"/>
              </w:rPr>
              <w:t>. Similarly, the costs for a Motion can range from $1,000.00 to $20,000.00</w:t>
            </w:r>
            <w:r w:rsidR="00F3289F" w:rsidRPr="00E27E56">
              <w:rPr>
                <w:sz w:val="24"/>
                <w:szCs w:val="24"/>
              </w:rPr>
              <w:t xml:space="preserve"> (Lemieux Litigation, 2018)</w:t>
            </w:r>
            <w:r w:rsidR="009004B4" w:rsidRPr="00E27E56">
              <w:rPr>
                <w:sz w:val="24"/>
                <w:szCs w:val="24"/>
              </w:rPr>
              <w:t>.</w:t>
            </w:r>
          </w:p>
        </w:tc>
      </w:tr>
      <w:tr w:rsidR="00C80AFA" w:rsidRPr="00ED6DD6" w14:paraId="0EAB2C54" w14:textId="77777777" w:rsidTr="008E6517">
        <w:trPr>
          <w:trHeight w:val="458"/>
        </w:trPr>
        <w:tc>
          <w:tcPr>
            <w:cnfStyle w:val="001000000000" w:firstRow="0" w:lastRow="0" w:firstColumn="1" w:lastColumn="0" w:oddVBand="0" w:evenVBand="0" w:oddHBand="0" w:evenHBand="0" w:firstRowFirstColumn="0" w:firstRowLastColumn="0" w:lastRowFirstColumn="0" w:lastRowLastColumn="0"/>
            <w:tcW w:w="3060" w:type="dxa"/>
          </w:tcPr>
          <w:p w14:paraId="43244CA3" w14:textId="5B5B9745" w:rsidR="00C80AFA" w:rsidRPr="00C80AFA" w:rsidRDefault="00C80AFA" w:rsidP="00C80AFA">
            <w:pPr>
              <w:spacing w:after="0" w:line="240" w:lineRule="auto"/>
              <w:rPr>
                <w:sz w:val="24"/>
                <w:szCs w:val="24"/>
              </w:rPr>
            </w:pPr>
            <w:r w:rsidRPr="00ED6DD6">
              <w:rPr>
                <w:sz w:val="24"/>
                <w:szCs w:val="24"/>
              </w:rPr>
              <w:t xml:space="preserve">Foster Care </w:t>
            </w:r>
          </w:p>
        </w:tc>
        <w:tc>
          <w:tcPr>
            <w:tcW w:w="1710" w:type="dxa"/>
            <w:tcBorders>
              <w:top w:val="single" w:sz="4" w:space="0" w:color="467C81" w:themeColor="accent3"/>
            </w:tcBorders>
          </w:tcPr>
          <w:p w14:paraId="629CED04" w14:textId="4B031673" w:rsidR="00C80AFA" w:rsidRPr="00C80AFA" w:rsidRDefault="004C5F3F"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$1,530.57</w:t>
            </w:r>
          </w:p>
        </w:tc>
        <w:tc>
          <w:tcPr>
            <w:tcW w:w="8435" w:type="dxa"/>
            <w:tcBorders>
              <w:top w:val="single" w:sz="4" w:space="0" w:color="467C81" w:themeColor="accent3"/>
            </w:tcBorders>
          </w:tcPr>
          <w:p w14:paraId="393DB08F" w14:textId="637D27A9" w:rsidR="00C80AFA" w:rsidRPr="00C80AFA" w:rsidRDefault="009004B4" w:rsidP="00C80AF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British Columbia legislation in 2023 was tabled by the Child and Family Development </w:t>
            </w:r>
            <w:r w:rsidR="00E07696">
              <w:rPr>
                <w:sz w:val="24"/>
                <w:szCs w:val="24"/>
              </w:rPr>
              <w:t>M</w:t>
            </w:r>
            <w:r>
              <w:rPr>
                <w:sz w:val="24"/>
                <w:szCs w:val="24"/>
              </w:rPr>
              <w:t xml:space="preserve">inister to offer payment to foster parents of $1,465 per child per month (The Canadian Press, 2023). </w:t>
            </w:r>
          </w:p>
        </w:tc>
      </w:tr>
      <w:tr w:rsidR="00C80AFA" w:rsidRPr="00ED6DD6" w14:paraId="4A210DF2" w14:textId="77777777" w:rsidTr="004C5F3F">
        <w:trPr>
          <w:trHeight w:val="458"/>
        </w:trPr>
        <w:tc>
          <w:tcPr>
            <w:cnfStyle w:val="001000000000" w:firstRow="0" w:lastRow="0" w:firstColumn="1" w:lastColumn="0" w:oddVBand="0" w:evenVBand="0" w:oddHBand="0" w:evenHBand="0" w:firstRowFirstColumn="0" w:firstRowLastColumn="0" w:lastRowFirstColumn="0" w:lastRowLastColumn="0"/>
            <w:tcW w:w="3060" w:type="dxa"/>
          </w:tcPr>
          <w:p w14:paraId="55AE693B" w14:textId="21A11B62" w:rsidR="00C80AFA" w:rsidRPr="00C80AFA" w:rsidRDefault="00C80AFA" w:rsidP="00C80AFA">
            <w:pPr>
              <w:spacing w:after="0" w:line="240" w:lineRule="auto"/>
              <w:rPr>
                <w:sz w:val="24"/>
                <w:szCs w:val="24"/>
              </w:rPr>
            </w:pPr>
            <w:r w:rsidRPr="00ED6DD6">
              <w:rPr>
                <w:sz w:val="24"/>
                <w:szCs w:val="24"/>
              </w:rPr>
              <w:t>Parenting Classes</w:t>
            </w:r>
          </w:p>
        </w:tc>
        <w:tc>
          <w:tcPr>
            <w:tcW w:w="1710" w:type="dxa"/>
          </w:tcPr>
          <w:p w14:paraId="1F07D633" w14:textId="04E2BB25" w:rsidR="004C5F3F" w:rsidRPr="00C80AFA" w:rsidRDefault="004C5F3F"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$600.00</w:t>
            </w:r>
          </w:p>
        </w:tc>
        <w:tc>
          <w:tcPr>
            <w:tcW w:w="8435" w:type="dxa"/>
          </w:tcPr>
          <w:p w14:paraId="0AB12D3C" w14:textId="738E9986" w:rsidR="00C80AFA" w:rsidRPr="00C80AFA" w:rsidRDefault="009004B4" w:rsidP="00C80AF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These parenting classes incorporated parenting lessons, anger management training, and mental health counselling. To estimate the cost of this work, the cost of </w:t>
            </w:r>
            <w:r w:rsidR="00CD18FC">
              <w:rPr>
                <w:sz w:val="24"/>
                <w:szCs w:val="24"/>
              </w:rPr>
              <w:t>an</w:t>
            </w:r>
            <w:r>
              <w:rPr>
                <w:sz w:val="24"/>
                <w:szCs w:val="24"/>
              </w:rPr>
              <w:t xml:space="preserve"> anger management course by Family Services Ottawa (2025) for two persons</w:t>
            </w:r>
            <w:r w:rsidR="00CD18FC">
              <w:rPr>
                <w:sz w:val="24"/>
                <w:szCs w:val="24"/>
              </w:rPr>
              <w:t xml:space="preserve">. </w:t>
            </w:r>
          </w:p>
        </w:tc>
      </w:tr>
      <w:tr w:rsidR="00C80AFA" w:rsidRPr="00ED6DD6" w14:paraId="41A03AE6" w14:textId="77777777" w:rsidTr="004C5F3F">
        <w:trPr>
          <w:trHeight w:val="458"/>
        </w:trPr>
        <w:tc>
          <w:tcPr>
            <w:cnfStyle w:val="001000000000" w:firstRow="0" w:lastRow="0" w:firstColumn="1" w:lastColumn="0" w:oddVBand="0" w:evenVBand="0" w:oddHBand="0" w:evenHBand="0" w:firstRowFirstColumn="0" w:firstRowLastColumn="0" w:lastRowFirstColumn="0" w:lastRowLastColumn="0"/>
            <w:tcW w:w="3060" w:type="dxa"/>
          </w:tcPr>
          <w:p w14:paraId="30FED4AB" w14:textId="3A24F9B5" w:rsidR="00C80AFA" w:rsidRPr="00C80AFA" w:rsidRDefault="00C80AFA" w:rsidP="00C80AFA">
            <w:pPr>
              <w:spacing w:after="0" w:line="240" w:lineRule="auto"/>
              <w:rPr>
                <w:sz w:val="24"/>
                <w:szCs w:val="24"/>
              </w:rPr>
            </w:pPr>
            <w:r w:rsidRPr="00ED6DD6">
              <w:rPr>
                <w:sz w:val="24"/>
                <w:szCs w:val="24"/>
              </w:rPr>
              <w:t xml:space="preserve">Supervised Access </w:t>
            </w:r>
          </w:p>
        </w:tc>
        <w:tc>
          <w:tcPr>
            <w:tcW w:w="1710" w:type="dxa"/>
          </w:tcPr>
          <w:p w14:paraId="3B318228" w14:textId="481853AF" w:rsidR="004C5F3F" w:rsidRPr="00C80AFA" w:rsidRDefault="004C5F3F"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$30.00</w:t>
            </w:r>
          </w:p>
        </w:tc>
        <w:tc>
          <w:tcPr>
            <w:tcW w:w="8435" w:type="dxa"/>
          </w:tcPr>
          <w:p w14:paraId="755B10CB" w14:textId="4FCDB162" w:rsidR="00C80AFA" w:rsidRPr="00C80AFA" w:rsidRDefault="00CD18FC" w:rsidP="00C80AF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The Family Services Ottawa (2025) supervised access program had a cost of $30.00 per visit</w:t>
            </w:r>
          </w:p>
        </w:tc>
      </w:tr>
      <w:tr w:rsidR="00C80AFA" w:rsidRPr="00ED6DD6" w14:paraId="734E6091" w14:textId="77777777" w:rsidTr="008E6517">
        <w:trPr>
          <w:trHeight w:val="458"/>
        </w:trPr>
        <w:tc>
          <w:tcPr>
            <w:cnfStyle w:val="001000000000" w:firstRow="0" w:lastRow="0" w:firstColumn="1" w:lastColumn="0" w:oddVBand="0" w:evenVBand="0" w:oddHBand="0" w:evenHBand="0" w:firstRowFirstColumn="0" w:firstRowLastColumn="0" w:lastRowFirstColumn="0" w:lastRowLastColumn="0"/>
            <w:tcW w:w="3060" w:type="dxa"/>
          </w:tcPr>
          <w:p w14:paraId="12A48E20" w14:textId="74D48146" w:rsidR="00C80AFA" w:rsidRPr="00C80AFA" w:rsidRDefault="00C80AFA" w:rsidP="00C80AFA">
            <w:pPr>
              <w:spacing w:after="0" w:line="240" w:lineRule="auto"/>
              <w:rPr>
                <w:sz w:val="24"/>
                <w:szCs w:val="24"/>
              </w:rPr>
            </w:pPr>
            <w:r w:rsidRPr="00ED6DD6">
              <w:rPr>
                <w:sz w:val="24"/>
                <w:szCs w:val="24"/>
              </w:rPr>
              <w:t>Psychoeducational Assessment</w:t>
            </w:r>
          </w:p>
        </w:tc>
        <w:tc>
          <w:tcPr>
            <w:tcW w:w="1710" w:type="dxa"/>
            <w:tcBorders>
              <w:bottom w:val="single" w:sz="8" w:space="0" w:color="467C81" w:themeColor="accent3"/>
            </w:tcBorders>
          </w:tcPr>
          <w:p w14:paraId="4DED17A6" w14:textId="7558763C" w:rsidR="00C80AFA" w:rsidRPr="00C80AFA" w:rsidRDefault="004C5F3F"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$4,497.06</w:t>
            </w:r>
          </w:p>
        </w:tc>
        <w:tc>
          <w:tcPr>
            <w:tcW w:w="8435" w:type="dxa"/>
            <w:tcBorders>
              <w:bottom w:val="single" w:sz="8" w:space="0" w:color="467C81" w:themeColor="accent3"/>
            </w:tcBorders>
          </w:tcPr>
          <w:p w14:paraId="1BB113B9" w14:textId="537E58ED" w:rsidR="00C80AFA" w:rsidRPr="00C80AFA" w:rsidRDefault="00CD18FC" w:rsidP="00C80AF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The Canadian Centre of Integrative Psychology &amp; Healthcare (CCIPH; 2024) estimated that the cost for a psychoeducational assessment for youth with ADHD ranged from $3,000 to $5,840. The median of this range was used as the unit of cost in Tyler’s Story, valued at $4,420 in 2024. </w:t>
            </w:r>
          </w:p>
        </w:tc>
      </w:tr>
      <w:tr w:rsidR="00C80AFA" w:rsidRPr="00ED6DD6" w14:paraId="5904C059" w14:textId="77777777" w:rsidTr="008E6517">
        <w:trPr>
          <w:trHeight w:val="458"/>
        </w:trPr>
        <w:tc>
          <w:tcPr>
            <w:cnfStyle w:val="001000000000" w:firstRow="0" w:lastRow="0" w:firstColumn="1" w:lastColumn="0" w:oddVBand="0" w:evenVBand="0" w:oddHBand="0" w:evenHBand="0" w:firstRowFirstColumn="0" w:firstRowLastColumn="0" w:lastRowFirstColumn="0" w:lastRowLastColumn="0"/>
            <w:tcW w:w="3060" w:type="dxa"/>
          </w:tcPr>
          <w:p w14:paraId="4CEF90D1" w14:textId="2C6A6DD7" w:rsidR="00C80AFA" w:rsidRPr="00C80AFA" w:rsidRDefault="00C80AFA" w:rsidP="00C80AFA">
            <w:pPr>
              <w:spacing w:after="0" w:line="240" w:lineRule="auto"/>
              <w:rPr>
                <w:sz w:val="24"/>
                <w:szCs w:val="24"/>
              </w:rPr>
            </w:pPr>
            <w:r w:rsidRPr="00ED6DD6">
              <w:rPr>
                <w:sz w:val="24"/>
                <w:szCs w:val="24"/>
              </w:rPr>
              <w:t>Individual Education Plan</w:t>
            </w:r>
          </w:p>
        </w:tc>
        <w:tc>
          <w:tcPr>
            <w:tcW w:w="1710" w:type="dxa"/>
            <w:tcBorders>
              <w:bottom w:val="single" w:sz="4" w:space="0" w:color="467C81" w:themeColor="accent3"/>
            </w:tcBorders>
          </w:tcPr>
          <w:p w14:paraId="1D938655" w14:textId="62548C2F" w:rsidR="00C80AFA" w:rsidRPr="00C80AFA" w:rsidRDefault="004C5F3F"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$6,189.16</w:t>
            </w:r>
          </w:p>
        </w:tc>
        <w:tc>
          <w:tcPr>
            <w:tcW w:w="8435" w:type="dxa"/>
            <w:tcBorders>
              <w:bottom w:val="single" w:sz="4" w:space="0" w:color="467C81" w:themeColor="accent3"/>
            </w:tcBorders>
          </w:tcPr>
          <w:p w14:paraId="3F952DA4" w14:textId="50811C15" w:rsidR="00C80AFA" w:rsidRPr="00C80AFA" w:rsidRDefault="00DD1C48" w:rsidP="00C80AF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The costs were obtained from the Government of Canada (2024) job bank and the </w:t>
            </w:r>
            <w:r w:rsidR="00893E0A">
              <w:rPr>
                <w:sz w:val="24"/>
                <w:szCs w:val="24"/>
              </w:rPr>
              <w:t xml:space="preserve">Ontario </w:t>
            </w:r>
            <w:r>
              <w:rPr>
                <w:sz w:val="24"/>
                <w:szCs w:val="24"/>
              </w:rPr>
              <w:t>Ministry of Education (2023). It incorporated partial salary costs for education personnel responsible for Tyler, assistive technology, and adaptive software. The partial salary costs were estimated for a special education elementary school teacher</w:t>
            </w:r>
            <w:r w:rsidR="00893E0A">
              <w:rPr>
                <w:sz w:val="24"/>
                <w:szCs w:val="24"/>
              </w:rPr>
              <w:t xml:space="preserve"> (median wage of $46.15), an education assistant (median wage of $25.00), and an education counsellor (median wage of $40.02) – assuming a class size of 30 and an estimated 3.33% of their time dedicated to a single student (i.e., Tyler). The percentage was applied to the full-time yearly salaries for a 36-week school year for a total of $5,283.10 (in 2024 dollars; equals .033*$160,093.80). In terms of technology and adaptive software, Tyler would receive a Google Chromebook with speech-to-text software, which would be covered by an $800 stipend provided by the school board, while the remaining $5,283.10 would be covered by the Government of Ontario’s Special Equipment Amount. In total, the cost for a year of Tyler’s individual education plan was estimated to be $6,083.10 in 2024. </w:t>
            </w:r>
          </w:p>
        </w:tc>
      </w:tr>
      <w:tr w:rsidR="00C80AFA" w:rsidRPr="00ED6DD6" w14:paraId="6F04F203" w14:textId="77777777" w:rsidTr="008E6517">
        <w:trPr>
          <w:trHeight w:val="458"/>
        </w:trPr>
        <w:tc>
          <w:tcPr>
            <w:cnfStyle w:val="001000000000" w:firstRow="0" w:lastRow="0" w:firstColumn="1" w:lastColumn="0" w:oddVBand="0" w:evenVBand="0" w:oddHBand="0" w:evenHBand="0" w:firstRowFirstColumn="0" w:firstRowLastColumn="0" w:lastRowFirstColumn="0" w:lastRowLastColumn="0"/>
            <w:tcW w:w="3060" w:type="dxa"/>
          </w:tcPr>
          <w:p w14:paraId="6CD9740A" w14:textId="50BC6DA7" w:rsidR="00C80AFA" w:rsidRPr="00C80AFA" w:rsidRDefault="00C80AFA" w:rsidP="00C80AFA">
            <w:pPr>
              <w:spacing w:after="0" w:line="240" w:lineRule="auto"/>
              <w:rPr>
                <w:sz w:val="24"/>
                <w:szCs w:val="24"/>
              </w:rPr>
            </w:pPr>
            <w:r w:rsidRPr="00ED6DD6">
              <w:rPr>
                <w:sz w:val="24"/>
                <w:szCs w:val="24"/>
                <w:lang w:eastAsia="en-CA"/>
              </w:rPr>
              <w:t>Arrest of a Juvenile</w:t>
            </w:r>
          </w:p>
        </w:tc>
        <w:tc>
          <w:tcPr>
            <w:tcW w:w="1710" w:type="dxa"/>
            <w:tcBorders>
              <w:top w:val="single" w:sz="4" w:space="0" w:color="467C81" w:themeColor="accent3"/>
            </w:tcBorders>
          </w:tcPr>
          <w:p w14:paraId="6D458590" w14:textId="0BC39C9E" w:rsidR="00C80AFA" w:rsidRPr="00C80AFA" w:rsidRDefault="004C5F3F"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$677.08</w:t>
            </w:r>
          </w:p>
        </w:tc>
        <w:tc>
          <w:tcPr>
            <w:tcW w:w="8435" w:type="dxa"/>
            <w:tcBorders>
              <w:top w:val="single" w:sz="4" w:space="0" w:color="467C81" w:themeColor="accent3"/>
            </w:tcBorders>
          </w:tcPr>
          <w:p w14:paraId="1F21CEBD" w14:textId="4511B24D" w:rsidR="00C80AFA" w:rsidRPr="00C80AFA" w:rsidRDefault="00893E0A" w:rsidP="00C80AF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This cost was the average cost of arrests under the Youth Criminal Justice Act (2003) by the Waterloo Regional Police Service, acquired from a Public Safety Canada report (</w:t>
            </w:r>
            <w:proofErr w:type="spellStart"/>
            <w:r>
              <w:rPr>
                <w:sz w:val="24"/>
                <w:szCs w:val="24"/>
              </w:rPr>
              <w:t>Elligwood</w:t>
            </w:r>
            <w:proofErr w:type="spellEnd"/>
            <w:r>
              <w:rPr>
                <w:sz w:val="24"/>
                <w:szCs w:val="24"/>
              </w:rPr>
              <w:t xml:space="preserve">, 2015). The cost was averaged at $508.43 in 2013. </w:t>
            </w:r>
          </w:p>
        </w:tc>
      </w:tr>
      <w:tr w:rsidR="00C80AFA" w:rsidRPr="00ED6DD6" w14:paraId="5072E3A3" w14:textId="77777777" w:rsidTr="004C5F3F">
        <w:trPr>
          <w:trHeight w:val="458"/>
        </w:trPr>
        <w:tc>
          <w:tcPr>
            <w:cnfStyle w:val="001000000000" w:firstRow="0" w:lastRow="0" w:firstColumn="1" w:lastColumn="0" w:oddVBand="0" w:evenVBand="0" w:oddHBand="0" w:evenHBand="0" w:firstRowFirstColumn="0" w:firstRowLastColumn="0" w:lastRowFirstColumn="0" w:lastRowLastColumn="0"/>
            <w:tcW w:w="3060" w:type="dxa"/>
          </w:tcPr>
          <w:p w14:paraId="01C097CE" w14:textId="67C78F75" w:rsidR="00C80AFA" w:rsidRPr="00C80AFA" w:rsidRDefault="00C80AFA" w:rsidP="00C80AFA">
            <w:pPr>
              <w:spacing w:after="0" w:line="240" w:lineRule="auto"/>
              <w:rPr>
                <w:sz w:val="24"/>
                <w:szCs w:val="24"/>
              </w:rPr>
            </w:pPr>
            <w:r w:rsidRPr="00ED6DD6">
              <w:rPr>
                <w:sz w:val="24"/>
                <w:szCs w:val="24"/>
                <w:lang w:eastAsia="en-CA"/>
              </w:rPr>
              <w:t xml:space="preserve">Youth Court Appearance </w:t>
            </w:r>
          </w:p>
        </w:tc>
        <w:tc>
          <w:tcPr>
            <w:tcW w:w="1710" w:type="dxa"/>
          </w:tcPr>
          <w:p w14:paraId="548C667E" w14:textId="041F3776" w:rsidR="00C80AFA" w:rsidRPr="00C80AFA" w:rsidRDefault="004C5F3F"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$1,650.83</w:t>
            </w:r>
          </w:p>
        </w:tc>
        <w:tc>
          <w:tcPr>
            <w:tcW w:w="8435" w:type="dxa"/>
          </w:tcPr>
          <w:p w14:paraId="2944D382" w14:textId="1436236D" w:rsidR="00C80AFA" w:rsidRPr="00C80AFA" w:rsidRDefault="00893E0A" w:rsidP="00C80AF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The cost per youth court appearance was estimated at $1,275.00 in 2015 by the Government of Alberta’s (2015) Safe Communities Innovation Fund pilot project. </w:t>
            </w:r>
          </w:p>
        </w:tc>
      </w:tr>
      <w:tr w:rsidR="00C80AFA" w:rsidRPr="00ED6DD6" w14:paraId="1AB1E4DF" w14:textId="77777777" w:rsidTr="008E6517">
        <w:trPr>
          <w:trHeight w:val="458"/>
        </w:trPr>
        <w:tc>
          <w:tcPr>
            <w:cnfStyle w:val="001000000000" w:firstRow="0" w:lastRow="0" w:firstColumn="1" w:lastColumn="0" w:oddVBand="0" w:evenVBand="0" w:oddHBand="0" w:evenHBand="0" w:firstRowFirstColumn="0" w:firstRowLastColumn="0" w:lastRowFirstColumn="0" w:lastRowLastColumn="0"/>
            <w:tcW w:w="3060" w:type="dxa"/>
          </w:tcPr>
          <w:p w14:paraId="436CAD49" w14:textId="6DD77C01" w:rsidR="00C80AFA" w:rsidRPr="00C80AFA" w:rsidRDefault="00C80AFA" w:rsidP="00C80AFA">
            <w:pPr>
              <w:spacing w:after="0" w:line="240" w:lineRule="auto"/>
              <w:rPr>
                <w:sz w:val="24"/>
                <w:szCs w:val="24"/>
              </w:rPr>
            </w:pPr>
            <w:r w:rsidRPr="00ED6DD6">
              <w:rPr>
                <w:sz w:val="24"/>
                <w:szCs w:val="24"/>
                <w:lang w:eastAsia="en-CA"/>
              </w:rPr>
              <w:t xml:space="preserve">Police Attendance at Court </w:t>
            </w:r>
          </w:p>
        </w:tc>
        <w:tc>
          <w:tcPr>
            <w:tcW w:w="1710" w:type="dxa"/>
            <w:tcBorders>
              <w:bottom w:val="single" w:sz="8" w:space="0" w:color="467C81" w:themeColor="accent3"/>
            </w:tcBorders>
          </w:tcPr>
          <w:p w14:paraId="3B40993E" w14:textId="0CE2098D" w:rsidR="00C80AFA" w:rsidRPr="00C80AFA" w:rsidRDefault="004C5F3F"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$443.10</w:t>
            </w:r>
          </w:p>
        </w:tc>
        <w:tc>
          <w:tcPr>
            <w:tcW w:w="8435" w:type="dxa"/>
            <w:tcBorders>
              <w:bottom w:val="single" w:sz="8" w:space="0" w:color="467C81" w:themeColor="accent3"/>
            </w:tcBorders>
          </w:tcPr>
          <w:p w14:paraId="3843C38E" w14:textId="230FD821" w:rsidR="00C80AFA" w:rsidRPr="00C80AFA" w:rsidRDefault="00893E0A" w:rsidP="00C80AF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The cost was estimated using Ottawa Police Services (2025) 2023 cost for a tier 2 constable attending court for a required minimum of four hours. In 2023, this cost was calculated as $424.12 per court appearance.  </w:t>
            </w:r>
          </w:p>
        </w:tc>
      </w:tr>
      <w:tr w:rsidR="00C80AFA" w:rsidRPr="00ED6DD6" w14:paraId="5454B178" w14:textId="77777777" w:rsidTr="008E6517">
        <w:trPr>
          <w:trHeight w:val="458"/>
        </w:trPr>
        <w:tc>
          <w:tcPr>
            <w:cnfStyle w:val="001000000000" w:firstRow="0" w:lastRow="0" w:firstColumn="1" w:lastColumn="0" w:oddVBand="0" w:evenVBand="0" w:oddHBand="0" w:evenHBand="0" w:firstRowFirstColumn="0" w:firstRowLastColumn="0" w:lastRowFirstColumn="0" w:lastRowLastColumn="0"/>
            <w:tcW w:w="3060" w:type="dxa"/>
          </w:tcPr>
          <w:p w14:paraId="6D01DA4C" w14:textId="0DE38536" w:rsidR="00C80AFA" w:rsidRPr="00C80AFA" w:rsidRDefault="00C80AFA" w:rsidP="00C80AFA">
            <w:pPr>
              <w:spacing w:after="0" w:line="240" w:lineRule="auto"/>
              <w:rPr>
                <w:sz w:val="24"/>
                <w:szCs w:val="24"/>
              </w:rPr>
            </w:pPr>
            <w:r w:rsidRPr="00ED6DD6">
              <w:rPr>
                <w:sz w:val="24"/>
                <w:szCs w:val="24"/>
                <w:lang w:eastAsia="en-CA"/>
              </w:rPr>
              <w:t>Theft Under $5,000</w:t>
            </w:r>
          </w:p>
        </w:tc>
        <w:tc>
          <w:tcPr>
            <w:tcW w:w="1710" w:type="dxa"/>
            <w:tcBorders>
              <w:bottom w:val="single" w:sz="4" w:space="0" w:color="467C81" w:themeColor="accent3"/>
            </w:tcBorders>
          </w:tcPr>
          <w:p w14:paraId="7B2075F7" w14:textId="12B21274" w:rsidR="00C80AFA" w:rsidRPr="00C80AFA" w:rsidRDefault="004C5F3F"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$1,542.09</w:t>
            </w:r>
          </w:p>
        </w:tc>
        <w:tc>
          <w:tcPr>
            <w:tcW w:w="8435" w:type="dxa"/>
            <w:tcBorders>
              <w:bottom w:val="single" w:sz="4" w:space="0" w:color="467C81" w:themeColor="accent3"/>
            </w:tcBorders>
          </w:tcPr>
          <w:p w14:paraId="275A7559" w14:textId="3C9F5793" w:rsidR="00C80AFA" w:rsidRPr="00C80AFA" w:rsidRDefault="00893E0A" w:rsidP="00C80AF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An early report (Gabor, 2016) estimated the cost per theft incident in 2014 to the criminal justice system to be $1,181.58. </w:t>
            </w:r>
          </w:p>
        </w:tc>
      </w:tr>
      <w:tr w:rsidR="00893E0A" w:rsidRPr="00ED6DD6" w14:paraId="14BBD870" w14:textId="77777777" w:rsidTr="008E6517">
        <w:trPr>
          <w:trHeight w:val="458"/>
        </w:trPr>
        <w:tc>
          <w:tcPr>
            <w:cnfStyle w:val="001000000000" w:firstRow="0" w:lastRow="0" w:firstColumn="1" w:lastColumn="0" w:oddVBand="0" w:evenVBand="0" w:oddHBand="0" w:evenHBand="0" w:firstRowFirstColumn="0" w:firstRowLastColumn="0" w:lastRowFirstColumn="0" w:lastRowLastColumn="0"/>
            <w:tcW w:w="3060" w:type="dxa"/>
          </w:tcPr>
          <w:p w14:paraId="15249F4E" w14:textId="6C7A1054" w:rsidR="00893E0A" w:rsidRPr="00C80AFA" w:rsidRDefault="00893E0A" w:rsidP="00893E0A">
            <w:pPr>
              <w:spacing w:after="0" w:line="240" w:lineRule="auto"/>
              <w:rPr>
                <w:sz w:val="24"/>
                <w:szCs w:val="24"/>
              </w:rPr>
            </w:pPr>
            <w:r w:rsidRPr="00ED6DD6">
              <w:rPr>
                <w:sz w:val="24"/>
                <w:szCs w:val="24"/>
                <w:lang w:eastAsia="en-CA"/>
              </w:rPr>
              <w:t>Damage to Property</w:t>
            </w:r>
          </w:p>
        </w:tc>
        <w:tc>
          <w:tcPr>
            <w:tcW w:w="1710" w:type="dxa"/>
            <w:tcBorders>
              <w:top w:val="single" w:sz="4" w:space="0" w:color="467C81" w:themeColor="accent3"/>
            </w:tcBorders>
          </w:tcPr>
          <w:p w14:paraId="39003F50" w14:textId="47EF7499" w:rsidR="00893E0A" w:rsidRPr="00C80AFA" w:rsidRDefault="00893E0A"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$3,469.73</w:t>
            </w:r>
          </w:p>
        </w:tc>
        <w:tc>
          <w:tcPr>
            <w:tcW w:w="8435" w:type="dxa"/>
            <w:tcBorders>
              <w:top w:val="single" w:sz="4" w:space="0" w:color="467C81" w:themeColor="accent3"/>
            </w:tcBorders>
          </w:tcPr>
          <w:p w14:paraId="5989C0F2" w14:textId="4858F563" w:rsidR="00893E0A" w:rsidRPr="00C80AFA" w:rsidRDefault="00893E0A" w:rsidP="00893E0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An early report (Gabor, 2016) estimated the cost per property damage incident in 2014 to the criminal justice system to be $2,658.57. </w:t>
            </w:r>
          </w:p>
        </w:tc>
      </w:tr>
      <w:tr w:rsidR="00893E0A" w:rsidRPr="00ED6DD6" w14:paraId="0AECE8B7" w14:textId="77777777" w:rsidTr="004C5F3F">
        <w:trPr>
          <w:trHeight w:val="458"/>
        </w:trPr>
        <w:tc>
          <w:tcPr>
            <w:cnfStyle w:val="001000000000" w:firstRow="0" w:lastRow="0" w:firstColumn="1" w:lastColumn="0" w:oddVBand="0" w:evenVBand="0" w:oddHBand="0" w:evenHBand="0" w:firstRowFirstColumn="0" w:firstRowLastColumn="0" w:lastRowFirstColumn="0" w:lastRowLastColumn="0"/>
            <w:tcW w:w="3060" w:type="dxa"/>
          </w:tcPr>
          <w:p w14:paraId="23257EF7" w14:textId="21D14AB2" w:rsidR="00893E0A" w:rsidRPr="00C80AFA" w:rsidRDefault="00893E0A" w:rsidP="00893E0A">
            <w:pPr>
              <w:spacing w:after="0" w:line="240" w:lineRule="auto"/>
              <w:rPr>
                <w:sz w:val="24"/>
                <w:szCs w:val="24"/>
              </w:rPr>
            </w:pPr>
            <w:r w:rsidRPr="00ED6DD6">
              <w:rPr>
                <w:sz w:val="24"/>
                <w:szCs w:val="24"/>
                <w:lang w:eastAsia="en-CA"/>
              </w:rPr>
              <w:t xml:space="preserve">Probation Supervision </w:t>
            </w:r>
          </w:p>
        </w:tc>
        <w:tc>
          <w:tcPr>
            <w:tcW w:w="1710" w:type="dxa"/>
          </w:tcPr>
          <w:p w14:paraId="708491A9" w14:textId="17C5BBF9" w:rsidR="00893E0A" w:rsidRPr="00C80AFA" w:rsidRDefault="00893E0A"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$23.21</w:t>
            </w:r>
          </w:p>
        </w:tc>
        <w:tc>
          <w:tcPr>
            <w:tcW w:w="8435" w:type="dxa"/>
          </w:tcPr>
          <w:p w14:paraId="28D4E89F" w14:textId="18ADAB11" w:rsidR="00893E0A" w:rsidRPr="00C80AFA" w:rsidRDefault="00893E0A" w:rsidP="00893E0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An early report (Day et al., 2016) estimated the per-diem cost for probation supervision in 2013 to be $17.43. </w:t>
            </w:r>
          </w:p>
        </w:tc>
      </w:tr>
      <w:tr w:rsidR="00893E0A" w:rsidRPr="00ED6DD6" w14:paraId="29164F1A" w14:textId="77777777" w:rsidTr="004C5F3F">
        <w:trPr>
          <w:trHeight w:val="458"/>
        </w:trPr>
        <w:tc>
          <w:tcPr>
            <w:cnfStyle w:val="001000000000" w:firstRow="0" w:lastRow="0" w:firstColumn="1" w:lastColumn="0" w:oddVBand="0" w:evenVBand="0" w:oddHBand="0" w:evenHBand="0" w:firstRowFirstColumn="0" w:firstRowLastColumn="0" w:lastRowFirstColumn="0" w:lastRowLastColumn="0"/>
            <w:tcW w:w="3060" w:type="dxa"/>
          </w:tcPr>
          <w:p w14:paraId="639509B7" w14:textId="752B62F5" w:rsidR="00893E0A" w:rsidRPr="00C80AFA" w:rsidRDefault="00893E0A" w:rsidP="00893E0A">
            <w:pPr>
              <w:spacing w:after="0" w:line="240" w:lineRule="auto"/>
              <w:rPr>
                <w:sz w:val="24"/>
                <w:szCs w:val="24"/>
              </w:rPr>
            </w:pPr>
            <w:r w:rsidRPr="00ED6DD6">
              <w:rPr>
                <w:sz w:val="24"/>
                <w:szCs w:val="24"/>
                <w:lang w:eastAsia="en-CA"/>
              </w:rPr>
              <w:t xml:space="preserve">Community Service Supervision </w:t>
            </w:r>
          </w:p>
        </w:tc>
        <w:tc>
          <w:tcPr>
            <w:tcW w:w="1710" w:type="dxa"/>
          </w:tcPr>
          <w:p w14:paraId="67A2AA43" w14:textId="00FE5127" w:rsidR="00893E0A" w:rsidRPr="00C80AFA" w:rsidRDefault="00893E0A"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$114.41</w:t>
            </w:r>
          </w:p>
        </w:tc>
        <w:tc>
          <w:tcPr>
            <w:tcW w:w="8435" w:type="dxa"/>
          </w:tcPr>
          <w:p w14:paraId="666AC50C" w14:textId="17CAAEB5" w:rsidR="00893E0A" w:rsidRPr="00C80AFA" w:rsidRDefault="00893E0A" w:rsidP="00893E0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An early report (Day et al., 2016) estimated the per-diem (8-hour) cost for community service supervision in 2014 to be $87.66. </w:t>
            </w:r>
          </w:p>
        </w:tc>
      </w:tr>
      <w:tr w:rsidR="00893E0A" w:rsidRPr="00ED6DD6" w14:paraId="4B56EAD8" w14:textId="77777777" w:rsidTr="004C5F3F">
        <w:trPr>
          <w:trHeight w:val="458"/>
        </w:trPr>
        <w:tc>
          <w:tcPr>
            <w:cnfStyle w:val="001000000000" w:firstRow="0" w:lastRow="0" w:firstColumn="1" w:lastColumn="0" w:oddVBand="0" w:evenVBand="0" w:oddHBand="0" w:evenHBand="0" w:firstRowFirstColumn="0" w:firstRowLastColumn="0" w:lastRowFirstColumn="0" w:lastRowLastColumn="0"/>
            <w:tcW w:w="3060" w:type="dxa"/>
          </w:tcPr>
          <w:p w14:paraId="6C380D3D" w14:textId="21CA660F" w:rsidR="00893E0A" w:rsidRPr="00C80AFA" w:rsidRDefault="00893E0A" w:rsidP="00893E0A">
            <w:pPr>
              <w:spacing w:after="0" w:line="240" w:lineRule="auto"/>
              <w:rPr>
                <w:sz w:val="24"/>
                <w:szCs w:val="24"/>
              </w:rPr>
            </w:pPr>
            <w:r w:rsidRPr="00ED6DD6">
              <w:rPr>
                <w:sz w:val="24"/>
                <w:szCs w:val="24"/>
                <w:lang w:eastAsia="en-CA"/>
              </w:rPr>
              <w:t>Social Assistance for High School Drop Out</w:t>
            </w:r>
          </w:p>
        </w:tc>
        <w:tc>
          <w:tcPr>
            <w:tcW w:w="1710" w:type="dxa"/>
          </w:tcPr>
          <w:p w14:paraId="3D60BFD7" w14:textId="559D2421" w:rsidR="00893E0A" w:rsidRPr="00C80AFA" w:rsidRDefault="00893E0A"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$765.81</w:t>
            </w:r>
          </w:p>
        </w:tc>
        <w:tc>
          <w:tcPr>
            <w:tcW w:w="8435" w:type="dxa"/>
          </w:tcPr>
          <w:p w14:paraId="43AC7D7D" w14:textId="32A9EE22" w:rsidR="00893E0A" w:rsidRPr="00C80AFA" w:rsidRDefault="00893E0A" w:rsidP="00893E0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The cost was determined from the Ontario Works financial assistance payments for a single individual who had not completed high school. The cost was $733.00 per individual per month in 2023 (Income Security Advocacy Centre, 2023). </w:t>
            </w:r>
          </w:p>
        </w:tc>
      </w:tr>
      <w:tr w:rsidR="00893E0A" w:rsidRPr="00ED6DD6" w14:paraId="6DB4E7A3" w14:textId="77777777" w:rsidTr="004C5F3F">
        <w:trPr>
          <w:trHeight w:val="458"/>
        </w:trPr>
        <w:tc>
          <w:tcPr>
            <w:cnfStyle w:val="001000000000" w:firstRow="0" w:lastRow="0" w:firstColumn="1" w:lastColumn="0" w:oddVBand="0" w:evenVBand="0" w:oddHBand="0" w:evenHBand="0" w:firstRowFirstColumn="0" w:firstRowLastColumn="0" w:lastRowFirstColumn="0" w:lastRowLastColumn="0"/>
            <w:tcW w:w="3060" w:type="dxa"/>
          </w:tcPr>
          <w:p w14:paraId="16BCE166" w14:textId="57DA1639" w:rsidR="00893E0A" w:rsidRPr="00C80AFA" w:rsidRDefault="00893E0A" w:rsidP="00893E0A">
            <w:pPr>
              <w:spacing w:after="0" w:line="240" w:lineRule="auto"/>
              <w:rPr>
                <w:sz w:val="24"/>
                <w:szCs w:val="24"/>
              </w:rPr>
            </w:pPr>
            <w:r w:rsidRPr="00ED6DD6">
              <w:rPr>
                <w:sz w:val="24"/>
                <w:szCs w:val="24"/>
                <w:lang w:eastAsia="en-CA"/>
              </w:rPr>
              <w:t>Assault</w:t>
            </w:r>
          </w:p>
        </w:tc>
        <w:tc>
          <w:tcPr>
            <w:tcW w:w="1710" w:type="dxa"/>
          </w:tcPr>
          <w:p w14:paraId="671FB8DB" w14:textId="175C390E" w:rsidR="00893E0A" w:rsidRPr="00C80AFA" w:rsidRDefault="00893E0A"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$5,718.14</w:t>
            </w:r>
          </w:p>
        </w:tc>
        <w:tc>
          <w:tcPr>
            <w:tcW w:w="8435" w:type="dxa"/>
          </w:tcPr>
          <w:p w14:paraId="4703893E" w14:textId="56D138F9" w:rsidR="00893E0A" w:rsidRPr="00C80AFA" w:rsidRDefault="00893E0A" w:rsidP="00893E0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An early report (Gabor, 2016) estimated the cost per assault in 2014 to the criminal justice system to be $4,381.34.</w:t>
            </w:r>
          </w:p>
        </w:tc>
      </w:tr>
      <w:tr w:rsidR="00893E0A" w:rsidRPr="00ED6DD6" w14:paraId="7E12CD12" w14:textId="77777777" w:rsidTr="004C5F3F">
        <w:trPr>
          <w:trHeight w:val="458"/>
        </w:trPr>
        <w:tc>
          <w:tcPr>
            <w:cnfStyle w:val="001000000000" w:firstRow="0" w:lastRow="0" w:firstColumn="1" w:lastColumn="0" w:oddVBand="0" w:evenVBand="0" w:oddHBand="0" w:evenHBand="0" w:firstRowFirstColumn="0" w:firstRowLastColumn="0" w:lastRowFirstColumn="0" w:lastRowLastColumn="0"/>
            <w:tcW w:w="3060" w:type="dxa"/>
          </w:tcPr>
          <w:p w14:paraId="312DF625" w14:textId="2C926814" w:rsidR="00893E0A" w:rsidRPr="00C80AFA" w:rsidRDefault="00893E0A" w:rsidP="00893E0A">
            <w:pPr>
              <w:spacing w:after="0" w:line="240" w:lineRule="auto"/>
              <w:rPr>
                <w:sz w:val="24"/>
                <w:szCs w:val="24"/>
              </w:rPr>
            </w:pPr>
            <w:r w:rsidRPr="00ED6DD6">
              <w:rPr>
                <w:sz w:val="24"/>
                <w:szCs w:val="24"/>
                <w:lang w:eastAsia="en-CA"/>
              </w:rPr>
              <w:t xml:space="preserve">Youth Custody Facility </w:t>
            </w:r>
          </w:p>
        </w:tc>
        <w:tc>
          <w:tcPr>
            <w:tcW w:w="1710" w:type="dxa"/>
          </w:tcPr>
          <w:p w14:paraId="4B48BEB6" w14:textId="7B3D63E5" w:rsidR="00893E0A" w:rsidRPr="00C80AFA" w:rsidRDefault="00893E0A"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$253.12</w:t>
            </w:r>
          </w:p>
        </w:tc>
        <w:tc>
          <w:tcPr>
            <w:tcW w:w="8435" w:type="dxa"/>
          </w:tcPr>
          <w:p w14:paraId="40C91AB8" w14:textId="312867ED" w:rsidR="00893E0A" w:rsidRPr="00C80AFA" w:rsidRDefault="00893E0A" w:rsidP="00893E0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The cost was determined by the Office of the Parliamentary Budget Officer (2018). The specific cost per day in 2016-17 per youth was $202.00. </w:t>
            </w:r>
          </w:p>
        </w:tc>
      </w:tr>
      <w:tr w:rsidR="00893E0A" w:rsidRPr="00ED6DD6" w14:paraId="3CCAE7FF" w14:textId="77777777" w:rsidTr="004C5F3F">
        <w:trPr>
          <w:trHeight w:val="358"/>
        </w:trPr>
        <w:tc>
          <w:tcPr>
            <w:cnfStyle w:val="001000000000" w:firstRow="0" w:lastRow="0" w:firstColumn="1" w:lastColumn="0" w:oddVBand="0" w:evenVBand="0" w:oddHBand="0" w:evenHBand="0" w:firstRowFirstColumn="0" w:firstRowLastColumn="0" w:lastRowFirstColumn="0" w:lastRowLastColumn="0"/>
            <w:tcW w:w="3060" w:type="dxa"/>
          </w:tcPr>
          <w:p w14:paraId="2C77C454" w14:textId="32474A5B" w:rsidR="00893E0A" w:rsidRPr="00C80AFA" w:rsidRDefault="00893E0A" w:rsidP="00893E0A">
            <w:pPr>
              <w:spacing w:after="0" w:line="240" w:lineRule="auto"/>
              <w:rPr>
                <w:sz w:val="24"/>
                <w:szCs w:val="24"/>
              </w:rPr>
            </w:pPr>
            <w:r w:rsidRPr="00ED6DD6">
              <w:rPr>
                <w:sz w:val="24"/>
                <w:szCs w:val="24"/>
                <w:lang w:eastAsia="en-CA"/>
              </w:rPr>
              <w:t xml:space="preserve">Arrest of Adult </w:t>
            </w:r>
          </w:p>
        </w:tc>
        <w:tc>
          <w:tcPr>
            <w:tcW w:w="1710" w:type="dxa"/>
          </w:tcPr>
          <w:p w14:paraId="09B3887C" w14:textId="087FDFAE" w:rsidR="00893E0A" w:rsidRPr="00C80AFA" w:rsidRDefault="00893E0A"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$3,205.54</w:t>
            </w:r>
          </w:p>
        </w:tc>
        <w:tc>
          <w:tcPr>
            <w:tcW w:w="8435" w:type="dxa"/>
          </w:tcPr>
          <w:p w14:paraId="4787B8D7" w14:textId="16B63FD5" w:rsidR="00893E0A" w:rsidRPr="00C80AFA" w:rsidRDefault="00893E0A" w:rsidP="00893E0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An early report (Gabor, 2016) estimated the cost per arrest of an adult in 2014 to the criminal justice system to be $2,456.14.</w:t>
            </w:r>
          </w:p>
        </w:tc>
      </w:tr>
      <w:tr w:rsidR="00893E0A" w:rsidRPr="00ED6DD6" w14:paraId="4DB5D352" w14:textId="77777777" w:rsidTr="008E6517">
        <w:trPr>
          <w:trHeight w:val="458"/>
        </w:trPr>
        <w:tc>
          <w:tcPr>
            <w:cnfStyle w:val="001000000000" w:firstRow="0" w:lastRow="0" w:firstColumn="1" w:lastColumn="0" w:oddVBand="0" w:evenVBand="0" w:oddHBand="0" w:evenHBand="0" w:firstRowFirstColumn="0" w:firstRowLastColumn="0" w:lastRowFirstColumn="0" w:lastRowLastColumn="0"/>
            <w:tcW w:w="3060" w:type="dxa"/>
          </w:tcPr>
          <w:p w14:paraId="3C1DAC2B" w14:textId="1EFE394C" w:rsidR="00893E0A" w:rsidRPr="00C80AFA" w:rsidRDefault="00893E0A" w:rsidP="00893E0A">
            <w:pPr>
              <w:spacing w:after="0" w:line="240" w:lineRule="auto"/>
              <w:rPr>
                <w:sz w:val="24"/>
                <w:szCs w:val="24"/>
              </w:rPr>
            </w:pPr>
            <w:r w:rsidRPr="00ED6DD6">
              <w:rPr>
                <w:sz w:val="24"/>
                <w:szCs w:val="24"/>
                <w:lang w:eastAsia="en-CA"/>
              </w:rPr>
              <w:t xml:space="preserve">Adult Court Appearance </w:t>
            </w:r>
          </w:p>
        </w:tc>
        <w:tc>
          <w:tcPr>
            <w:tcW w:w="1710" w:type="dxa"/>
            <w:tcBorders>
              <w:bottom w:val="single" w:sz="8" w:space="0" w:color="467C81" w:themeColor="accent3"/>
            </w:tcBorders>
          </w:tcPr>
          <w:p w14:paraId="5962C848" w14:textId="47ADF6C9" w:rsidR="00893E0A" w:rsidRPr="00C80AFA" w:rsidRDefault="00893E0A"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$8,987.04</w:t>
            </w:r>
          </w:p>
        </w:tc>
        <w:tc>
          <w:tcPr>
            <w:tcW w:w="8435" w:type="dxa"/>
            <w:tcBorders>
              <w:bottom w:val="single" w:sz="8" w:space="0" w:color="467C81" w:themeColor="accent3"/>
            </w:tcBorders>
          </w:tcPr>
          <w:p w14:paraId="3DAA6A1E" w14:textId="787A41ED" w:rsidR="00893E0A" w:rsidRPr="00C80AFA" w:rsidRDefault="00893E0A" w:rsidP="00893E0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An early report (Gabor, 2016) estimated the cost per adult court appearance in 2014 to the criminal justice system to be $6,886.03.</w:t>
            </w:r>
          </w:p>
        </w:tc>
      </w:tr>
      <w:tr w:rsidR="00893E0A" w:rsidRPr="00ED6DD6" w14:paraId="5EADECD4" w14:textId="77777777" w:rsidTr="008E6517">
        <w:trPr>
          <w:trHeight w:val="458"/>
        </w:trPr>
        <w:tc>
          <w:tcPr>
            <w:cnfStyle w:val="001000000000" w:firstRow="0" w:lastRow="0" w:firstColumn="1" w:lastColumn="0" w:oddVBand="0" w:evenVBand="0" w:oddHBand="0" w:evenHBand="0" w:firstRowFirstColumn="0" w:firstRowLastColumn="0" w:lastRowFirstColumn="0" w:lastRowLastColumn="0"/>
            <w:tcW w:w="3060" w:type="dxa"/>
          </w:tcPr>
          <w:p w14:paraId="45269E10" w14:textId="5621F3C6" w:rsidR="00893E0A" w:rsidRPr="00C80AFA" w:rsidRDefault="00893E0A" w:rsidP="00893E0A">
            <w:pPr>
              <w:spacing w:after="0" w:line="240" w:lineRule="auto"/>
              <w:rPr>
                <w:sz w:val="24"/>
                <w:szCs w:val="24"/>
              </w:rPr>
            </w:pPr>
            <w:r w:rsidRPr="00ED6DD6">
              <w:rPr>
                <w:sz w:val="24"/>
                <w:szCs w:val="24"/>
                <w:lang w:eastAsia="en-CA"/>
              </w:rPr>
              <w:t xml:space="preserve">Drug Offence/Investigation </w:t>
            </w:r>
          </w:p>
        </w:tc>
        <w:tc>
          <w:tcPr>
            <w:tcW w:w="1710" w:type="dxa"/>
            <w:tcBorders>
              <w:bottom w:val="single" w:sz="4" w:space="0" w:color="467C81" w:themeColor="accent3"/>
            </w:tcBorders>
          </w:tcPr>
          <w:p w14:paraId="758A9CF5" w14:textId="32EF083B" w:rsidR="00893E0A" w:rsidRPr="00C80AFA" w:rsidRDefault="00893E0A"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w:t>
            </w:r>
            <w:r w:rsidR="00E07696">
              <w:rPr>
                <w:sz w:val="24"/>
                <w:szCs w:val="24"/>
              </w:rPr>
              <w:t>,</w:t>
            </w:r>
            <w:r>
              <w:rPr>
                <w:sz w:val="24"/>
                <w:szCs w:val="24"/>
              </w:rPr>
              <w:t>861.85</w:t>
            </w:r>
          </w:p>
        </w:tc>
        <w:tc>
          <w:tcPr>
            <w:tcW w:w="8435" w:type="dxa"/>
            <w:tcBorders>
              <w:bottom w:val="single" w:sz="4" w:space="0" w:color="467C81" w:themeColor="accent3"/>
            </w:tcBorders>
          </w:tcPr>
          <w:p w14:paraId="61B45857" w14:textId="3119FA8C" w:rsidR="00893E0A" w:rsidRPr="00C80AFA" w:rsidRDefault="00893E0A" w:rsidP="00893E0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An early report (Ellingwood, 2015) estimated the cost per drug offence/investigation in 2013, which combined the costs for possession and trafficking of cocaine from the Uniform Crime Reporting Survey, to be $2,889.93 per offence/investigation. </w:t>
            </w:r>
          </w:p>
        </w:tc>
      </w:tr>
      <w:tr w:rsidR="00893E0A" w:rsidRPr="00ED6DD6" w14:paraId="47D3A7BA" w14:textId="77777777" w:rsidTr="008E6517">
        <w:trPr>
          <w:trHeight w:val="458"/>
        </w:trPr>
        <w:tc>
          <w:tcPr>
            <w:cnfStyle w:val="001000000000" w:firstRow="0" w:lastRow="0" w:firstColumn="1" w:lastColumn="0" w:oddVBand="0" w:evenVBand="0" w:oddHBand="0" w:evenHBand="0" w:firstRowFirstColumn="0" w:firstRowLastColumn="0" w:lastRowFirstColumn="0" w:lastRowLastColumn="0"/>
            <w:tcW w:w="3060" w:type="dxa"/>
          </w:tcPr>
          <w:p w14:paraId="6F278543" w14:textId="4ED59AEC" w:rsidR="00893E0A" w:rsidRPr="00C80AFA" w:rsidRDefault="00893E0A" w:rsidP="00893E0A">
            <w:pPr>
              <w:spacing w:after="0" w:line="240" w:lineRule="auto"/>
              <w:rPr>
                <w:sz w:val="24"/>
                <w:szCs w:val="24"/>
              </w:rPr>
            </w:pPr>
            <w:r w:rsidRPr="00ED6DD6">
              <w:rPr>
                <w:sz w:val="24"/>
                <w:szCs w:val="24"/>
                <w:lang w:eastAsia="en-CA"/>
              </w:rPr>
              <w:t xml:space="preserve">Provincial Custody </w:t>
            </w:r>
          </w:p>
        </w:tc>
        <w:tc>
          <w:tcPr>
            <w:tcW w:w="1710" w:type="dxa"/>
            <w:tcBorders>
              <w:top w:val="single" w:sz="4" w:space="0" w:color="467C81" w:themeColor="accent3"/>
            </w:tcBorders>
          </w:tcPr>
          <w:p w14:paraId="5A304C7B" w14:textId="4CAD9A56" w:rsidR="00893E0A" w:rsidRPr="00C80AFA" w:rsidRDefault="00893E0A"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$340.59</w:t>
            </w:r>
          </w:p>
        </w:tc>
        <w:tc>
          <w:tcPr>
            <w:tcW w:w="8435" w:type="dxa"/>
            <w:tcBorders>
              <w:top w:val="single" w:sz="4" w:space="0" w:color="467C81" w:themeColor="accent3"/>
            </w:tcBorders>
          </w:tcPr>
          <w:p w14:paraId="09F2EF51" w14:textId="6720AED1" w:rsidR="00893E0A" w:rsidRPr="00C80AFA" w:rsidRDefault="00893E0A" w:rsidP="00893E0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The cost was determined according to the Corrections Key Indicator Report for Adults (Statistics Canada, 2024). It constitutes the average daily estimated cost across provinces and territories derived from institutional operating costs and the number of individuals in custody in 2023, which was estimated at $326.00 per day. </w:t>
            </w:r>
          </w:p>
        </w:tc>
      </w:tr>
      <w:tr w:rsidR="00893E0A" w:rsidRPr="00ED6DD6" w14:paraId="0F14F2D0" w14:textId="77777777" w:rsidTr="004C5F3F">
        <w:trPr>
          <w:trHeight w:val="458"/>
        </w:trPr>
        <w:tc>
          <w:tcPr>
            <w:cnfStyle w:val="001000000000" w:firstRow="0" w:lastRow="0" w:firstColumn="1" w:lastColumn="0" w:oddVBand="0" w:evenVBand="0" w:oddHBand="0" w:evenHBand="0" w:firstRowFirstColumn="0" w:firstRowLastColumn="0" w:lastRowFirstColumn="0" w:lastRowLastColumn="0"/>
            <w:tcW w:w="3060" w:type="dxa"/>
          </w:tcPr>
          <w:p w14:paraId="379614EC" w14:textId="59D51A1C" w:rsidR="00893E0A" w:rsidRPr="00C80AFA" w:rsidRDefault="00893E0A" w:rsidP="00893E0A">
            <w:pPr>
              <w:spacing w:after="0" w:line="240" w:lineRule="auto"/>
              <w:rPr>
                <w:sz w:val="24"/>
                <w:szCs w:val="24"/>
              </w:rPr>
            </w:pPr>
            <w:r w:rsidRPr="00ED6DD6">
              <w:rPr>
                <w:sz w:val="24"/>
                <w:szCs w:val="24"/>
                <w:lang w:eastAsia="en-CA"/>
              </w:rPr>
              <w:t>Aggravated Assault</w:t>
            </w:r>
          </w:p>
        </w:tc>
        <w:tc>
          <w:tcPr>
            <w:tcW w:w="1710" w:type="dxa"/>
          </w:tcPr>
          <w:p w14:paraId="13AD628D" w14:textId="3D2D3576" w:rsidR="00893E0A" w:rsidRPr="00C80AFA" w:rsidRDefault="00893E0A"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$20,097.31</w:t>
            </w:r>
          </w:p>
        </w:tc>
        <w:tc>
          <w:tcPr>
            <w:tcW w:w="8435" w:type="dxa"/>
          </w:tcPr>
          <w:p w14:paraId="7DAA7344" w14:textId="3B06A80A" w:rsidR="00893E0A" w:rsidRPr="00C80AFA" w:rsidRDefault="00893E0A" w:rsidP="00893E0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An early report (Gabor, 2016) estimated the cost per aggravated assault in 2014 to the criminal justice system to be $15,398.92.</w:t>
            </w:r>
          </w:p>
        </w:tc>
      </w:tr>
      <w:tr w:rsidR="00893E0A" w:rsidRPr="00ED6DD6" w14:paraId="4963E0B5" w14:textId="77777777" w:rsidTr="004C5F3F">
        <w:trPr>
          <w:trHeight w:val="458"/>
        </w:trPr>
        <w:tc>
          <w:tcPr>
            <w:cnfStyle w:val="001000000000" w:firstRow="0" w:lastRow="0" w:firstColumn="1" w:lastColumn="0" w:oddVBand="0" w:evenVBand="0" w:oddHBand="0" w:evenHBand="0" w:firstRowFirstColumn="0" w:firstRowLastColumn="0" w:lastRowFirstColumn="0" w:lastRowLastColumn="0"/>
            <w:tcW w:w="3060" w:type="dxa"/>
          </w:tcPr>
          <w:p w14:paraId="6812840B" w14:textId="5F579550" w:rsidR="00893E0A" w:rsidRPr="00C80AFA" w:rsidRDefault="00893E0A" w:rsidP="00893E0A">
            <w:pPr>
              <w:spacing w:after="0" w:line="240" w:lineRule="auto"/>
              <w:rPr>
                <w:sz w:val="24"/>
                <w:szCs w:val="24"/>
              </w:rPr>
            </w:pPr>
            <w:r w:rsidRPr="00ED6DD6">
              <w:rPr>
                <w:sz w:val="24"/>
                <w:szCs w:val="24"/>
                <w:lang w:eastAsia="en-CA"/>
              </w:rPr>
              <w:t>Assault Causing Bodily Harm</w:t>
            </w:r>
          </w:p>
        </w:tc>
        <w:tc>
          <w:tcPr>
            <w:tcW w:w="1710" w:type="dxa"/>
          </w:tcPr>
          <w:p w14:paraId="2960916F" w14:textId="4979FE7C" w:rsidR="00893E0A" w:rsidRPr="00C80AFA" w:rsidRDefault="00893E0A"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$20,097.31</w:t>
            </w:r>
          </w:p>
        </w:tc>
        <w:tc>
          <w:tcPr>
            <w:tcW w:w="8435" w:type="dxa"/>
          </w:tcPr>
          <w:p w14:paraId="78B81754" w14:textId="4BA37EBE" w:rsidR="00893E0A" w:rsidRPr="00C80AFA" w:rsidRDefault="00893E0A" w:rsidP="00893E0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An early report (Gabor, 2016) estimated the cost per assault causing bodily harm in 2014 to the criminal justice system to be $15,398.31.</w:t>
            </w:r>
          </w:p>
        </w:tc>
      </w:tr>
      <w:tr w:rsidR="00893E0A" w:rsidRPr="00ED6DD6" w14:paraId="33EE9ACC" w14:textId="77777777" w:rsidTr="004C5F3F">
        <w:trPr>
          <w:trHeight w:val="458"/>
        </w:trPr>
        <w:tc>
          <w:tcPr>
            <w:cnfStyle w:val="001000000000" w:firstRow="0" w:lastRow="0" w:firstColumn="1" w:lastColumn="0" w:oddVBand="0" w:evenVBand="0" w:oddHBand="0" w:evenHBand="0" w:firstRowFirstColumn="0" w:firstRowLastColumn="0" w:lastRowFirstColumn="0" w:lastRowLastColumn="0"/>
            <w:tcW w:w="3060" w:type="dxa"/>
          </w:tcPr>
          <w:p w14:paraId="4727747E" w14:textId="3E080E01" w:rsidR="00893E0A" w:rsidRPr="00C80AFA" w:rsidRDefault="00893E0A" w:rsidP="00893E0A">
            <w:pPr>
              <w:spacing w:after="0" w:line="240" w:lineRule="auto"/>
              <w:rPr>
                <w:sz w:val="24"/>
                <w:szCs w:val="24"/>
              </w:rPr>
            </w:pPr>
            <w:r w:rsidRPr="00ED6DD6">
              <w:rPr>
                <w:sz w:val="24"/>
                <w:szCs w:val="24"/>
                <w:lang w:eastAsia="en-CA"/>
              </w:rPr>
              <w:t>Uttering Threats</w:t>
            </w:r>
          </w:p>
        </w:tc>
        <w:tc>
          <w:tcPr>
            <w:tcW w:w="1710" w:type="dxa"/>
          </w:tcPr>
          <w:p w14:paraId="4FACD592" w14:textId="6F8C92BF" w:rsidR="00893E0A" w:rsidRPr="00C80AFA" w:rsidRDefault="00893E0A"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$5,087.17</w:t>
            </w:r>
          </w:p>
        </w:tc>
        <w:tc>
          <w:tcPr>
            <w:tcW w:w="8435" w:type="dxa"/>
          </w:tcPr>
          <w:p w14:paraId="348A2D0A" w14:textId="6C6373BF" w:rsidR="00893E0A" w:rsidRPr="00893E0A" w:rsidRDefault="00893E0A" w:rsidP="00893E0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Uttering threats is a criminal offence according to the Canadian </w:t>
            </w:r>
            <w:r>
              <w:rPr>
                <w:i/>
                <w:iCs/>
                <w:sz w:val="24"/>
                <w:szCs w:val="24"/>
              </w:rPr>
              <w:t>Criminal Code</w:t>
            </w:r>
            <w:r>
              <w:rPr>
                <w:sz w:val="24"/>
                <w:szCs w:val="24"/>
              </w:rPr>
              <w:t xml:space="preserve"> (1985) section 264.1(1)(a) and is punishable by a fine up to $5000.00 or a term of incarceration of two years less a day (Caramanna Friedberg, 2024).</w:t>
            </w:r>
          </w:p>
        </w:tc>
      </w:tr>
      <w:tr w:rsidR="00893E0A" w:rsidRPr="00ED6DD6" w14:paraId="7745EB86" w14:textId="77777777" w:rsidTr="004C5F3F">
        <w:trPr>
          <w:trHeight w:val="458"/>
        </w:trPr>
        <w:tc>
          <w:tcPr>
            <w:cnfStyle w:val="001000000000" w:firstRow="0" w:lastRow="0" w:firstColumn="1" w:lastColumn="0" w:oddVBand="0" w:evenVBand="0" w:oddHBand="0" w:evenHBand="0" w:firstRowFirstColumn="0" w:firstRowLastColumn="0" w:lastRowFirstColumn="0" w:lastRowLastColumn="0"/>
            <w:tcW w:w="3060" w:type="dxa"/>
          </w:tcPr>
          <w:p w14:paraId="66649540" w14:textId="7E682D4C" w:rsidR="00893E0A" w:rsidRPr="00C80AFA" w:rsidRDefault="00893E0A" w:rsidP="00893E0A">
            <w:pPr>
              <w:spacing w:after="0" w:line="240" w:lineRule="auto"/>
              <w:rPr>
                <w:sz w:val="24"/>
                <w:szCs w:val="24"/>
              </w:rPr>
            </w:pPr>
            <w:r w:rsidRPr="00ED6DD6">
              <w:rPr>
                <w:sz w:val="24"/>
                <w:szCs w:val="24"/>
                <w:lang w:eastAsia="en-CA"/>
              </w:rPr>
              <w:t xml:space="preserve">Federal Prison </w:t>
            </w:r>
          </w:p>
        </w:tc>
        <w:tc>
          <w:tcPr>
            <w:tcW w:w="1710" w:type="dxa"/>
          </w:tcPr>
          <w:p w14:paraId="3BBEB4A2" w14:textId="4C5AB823" w:rsidR="00893E0A" w:rsidRPr="00C80AFA" w:rsidRDefault="00893E0A" w:rsidP="003A49DA">
            <w:pPr>
              <w:spacing w:after="0" w:line="240" w:lineRule="auto"/>
              <w:jc w:val="right"/>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$447.16</w:t>
            </w:r>
          </w:p>
        </w:tc>
        <w:tc>
          <w:tcPr>
            <w:tcW w:w="8435" w:type="dxa"/>
          </w:tcPr>
          <w:p w14:paraId="1E247269" w14:textId="422BE018" w:rsidR="00893E0A" w:rsidRPr="00C80AFA" w:rsidRDefault="00893E0A" w:rsidP="00893E0A">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The cost was determined according to the Corrections Key Indicator Report for Adults (Statistics Canada, 2024). It is derived from institutional operating costs and the number of individuals in custody in 2023, which was estimated at $428.00 per day. </w:t>
            </w:r>
          </w:p>
        </w:tc>
      </w:tr>
    </w:tbl>
    <w:p w14:paraId="168BD064" w14:textId="77777777" w:rsidR="00C80AFA" w:rsidRDefault="00C80AFA" w:rsidP="00CD5DC0">
      <w:pPr>
        <w:spacing w:after="160" w:line="259" w:lineRule="auto"/>
        <w:sectPr w:rsidR="00C80AFA" w:rsidSect="00C80AFA">
          <w:headerReference w:type="first" r:id="rId32"/>
          <w:pgSz w:w="15840" w:h="12240" w:orient="landscape" w:code="1"/>
          <w:pgMar w:top="1440" w:right="1440" w:bottom="1440" w:left="1440" w:header="720" w:footer="0" w:gutter="0"/>
          <w:cols w:space="720"/>
          <w:titlePg/>
          <w:docGrid w:linePitch="360"/>
        </w:sectPr>
      </w:pPr>
    </w:p>
    <w:p w14:paraId="5BAA9278" w14:textId="77777777" w:rsidR="00CD5DC0" w:rsidRPr="008B3B3A" w:rsidRDefault="00CD5DC0" w:rsidP="00CD5DC0">
      <w:pPr>
        <w:pStyle w:val="Heading2"/>
        <w:rPr>
          <w:rFonts w:eastAsia="Times New Roman"/>
          <w:lang w:val="en-CA"/>
        </w:rPr>
      </w:pPr>
      <w:bookmarkStart w:id="25" w:name="_Toc175235441"/>
      <w:bookmarkStart w:id="26" w:name="_Toc189579953"/>
      <w:bookmarkStart w:id="27" w:name="_Toc201674485"/>
      <w:bookmarkEnd w:id="16"/>
      <w:r w:rsidRPr="008B3B3A">
        <w:rPr>
          <w:rFonts w:eastAsia="Times New Roman"/>
          <w:lang w:val="en-CA"/>
        </w:rPr>
        <w:t>References</w:t>
      </w:r>
      <w:bookmarkEnd w:id="25"/>
      <w:bookmarkEnd w:id="26"/>
      <w:bookmarkEnd w:id="27"/>
    </w:p>
    <w:p w14:paraId="39C1ECEC" w14:textId="08CBC111" w:rsidR="00CD5DC0" w:rsidRPr="00124464" w:rsidRDefault="00CD5DC0" w:rsidP="00142CB0">
      <w:pPr>
        <w:spacing w:after="160" w:line="312" w:lineRule="auto"/>
        <w:rPr>
          <w:rFonts w:eastAsia="Calibri" w:cs="Times New Roman"/>
          <w:sz w:val="22"/>
          <w:lang w:val="en-CA"/>
        </w:rPr>
      </w:pPr>
      <w:r w:rsidRPr="00124464">
        <w:rPr>
          <w:rFonts w:eastAsia="Calibri" w:cs="Times New Roman"/>
          <w:sz w:val="22"/>
          <w:lang w:val="en-CA"/>
        </w:rPr>
        <w:t xml:space="preserve">Andrews, D. A., Bonta, J., </w:t>
      </w:r>
      <w:r w:rsidR="00EA4404" w:rsidRPr="00124464">
        <w:rPr>
          <w:rFonts w:eastAsia="Calibri" w:cs="Times New Roman"/>
          <w:sz w:val="22"/>
          <w:lang w:val="en-CA"/>
        </w:rPr>
        <w:t>and</w:t>
      </w:r>
      <w:r w:rsidRPr="00124464">
        <w:rPr>
          <w:rFonts w:eastAsia="Calibri" w:cs="Times New Roman"/>
          <w:sz w:val="22"/>
          <w:lang w:val="en-CA"/>
        </w:rPr>
        <w:t xml:space="preserve"> </w:t>
      </w:r>
      <w:proofErr w:type="spellStart"/>
      <w:r w:rsidRPr="00124464">
        <w:rPr>
          <w:rFonts w:eastAsia="Calibri" w:cs="Times New Roman"/>
          <w:sz w:val="22"/>
          <w:lang w:val="en-CA"/>
        </w:rPr>
        <w:t>Wormith</w:t>
      </w:r>
      <w:proofErr w:type="spellEnd"/>
      <w:r w:rsidRPr="00124464">
        <w:rPr>
          <w:rFonts w:eastAsia="Calibri" w:cs="Times New Roman"/>
          <w:sz w:val="22"/>
          <w:lang w:val="en-CA"/>
        </w:rPr>
        <w:t xml:space="preserve">, J. S. (2006). </w:t>
      </w:r>
      <w:hyperlink r:id="rId33" w:history="1">
        <w:r w:rsidRPr="00124464">
          <w:rPr>
            <w:rStyle w:val="Hyperlink"/>
            <w:rFonts w:eastAsia="Calibri" w:cs="Times New Roman"/>
            <w:sz w:val="22"/>
            <w:lang w:val="en-CA"/>
          </w:rPr>
          <w:t>The Recent Past and Near Future of Risk and/or Need Assessment</w:t>
        </w:r>
      </w:hyperlink>
      <w:r w:rsidRPr="00124464">
        <w:rPr>
          <w:rFonts w:eastAsia="Calibri" w:cs="Times New Roman"/>
          <w:sz w:val="22"/>
          <w:lang w:val="en-CA"/>
        </w:rPr>
        <w:t xml:space="preserve">. </w:t>
      </w:r>
      <w:r w:rsidRPr="00124464">
        <w:rPr>
          <w:rFonts w:eastAsia="Calibri" w:cs="Times New Roman"/>
          <w:i/>
          <w:iCs/>
          <w:sz w:val="22"/>
          <w:lang w:val="en-CA"/>
        </w:rPr>
        <w:t xml:space="preserve">Crime </w:t>
      </w:r>
      <w:r w:rsidR="00EA4404" w:rsidRPr="00124464">
        <w:rPr>
          <w:rFonts w:eastAsia="Calibri" w:cs="Times New Roman"/>
          <w:i/>
          <w:iCs/>
          <w:sz w:val="22"/>
          <w:lang w:val="en-CA"/>
        </w:rPr>
        <w:t>and</w:t>
      </w:r>
      <w:r w:rsidRPr="00124464">
        <w:rPr>
          <w:rFonts w:eastAsia="Calibri" w:cs="Times New Roman"/>
          <w:i/>
          <w:iCs/>
          <w:sz w:val="22"/>
          <w:lang w:val="en-CA"/>
        </w:rPr>
        <w:t xml:space="preserve"> Delinquency, 52</w:t>
      </w:r>
      <w:r w:rsidRPr="00124464">
        <w:rPr>
          <w:rFonts w:eastAsia="Calibri" w:cs="Times New Roman"/>
          <w:sz w:val="22"/>
          <w:lang w:val="en-CA"/>
        </w:rPr>
        <w:t xml:space="preserve">(1), 7-27. </w:t>
      </w:r>
    </w:p>
    <w:p w14:paraId="5FAADFB7" w14:textId="36B3D536" w:rsidR="00CD5DC0" w:rsidRPr="00124464" w:rsidRDefault="00CD5DC0" w:rsidP="00142CB0">
      <w:pPr>
        <w:spacing w:after="160" w:line="312" w:lineRule="auto"/>
        <w:rPr>
          <w:rFonts w:eastAsia="Calibri" w:cs="Times New Roman"/>
          <w:sz w:val="22"/>
          <w:lang w:val="en-CA"/>
        </w:rPr>
      </w:pPr>
      <w:r w:rsidRPr="00124464">
        <w:rPr>
          <w:rFonts w:eastAsia="Calibri" w:cs="Times New Roman"/>
          <w:sz w:val="22"/>
          <w:lang w:val="en-CA"/>
        </w:rPr>
        <w:t xml:space="preserve">Andrews, D. A., Zinger, I., Hoge, R. D., Bonta, J., Gendreau, P., </w:t>
      </w:r>
      <w:r w:rsidR="00EA4404" w:rsidRPr="00124464">
        <w:rPr>
          <w:rFonts w:eastAsia="Calibri" w:cs="Times New Roman"/>
          <w:sz w:val="22"/>
          <w:lang w:val="en-CA"/>
        </w:rPr>
        <w:t>and</w:t>
      </w:r>
      <w:r w:rsidRPr="00124464">
        <w:rPr>
          <w:rFonts w:eastAsia="Calibri" w:cs="Times New Roman"/>
          <w:sz w:val="22"/>
          <w:lang w:val="en-CA"/>
        </w:rPr>
        <w:t xml:space="preserve"> Cullen, F. T. (1990). Does Correctional Treatment Work? A Clinically Relevant and Psychologically Informed Meta-Analysis. </w:t>
      </w:r>
      <w:r w:rsidRPr="00124464">
        <w:rPr>
          <w:rFonts w:eastAsia="Calibri" w:cs="Times New Roman"/>
          <w:i/>
          <w:iCs/>
          <w:sz w:val="22"/>
          <w:lang w:val="en-CA"/>
        </w:rPr>
        <w:t>Criminology, 28</w:t>
      </w:r>
      <w:r w:rsidRPr="00124464">
        <w:rPr>
          <w:rFonts w:eastAsia="Calibri" w:cs="Times New Roman"/>
          <w:sz w:val="22"/>
          <w:lang w:val="en-CA"/>
        </w:rPr>
        <w:t>, 369.</w:t>
      </w:r>
    </w:p>
    <w:p w14:paraId="57C1E958" w14:textId="2E5A4F39" w:rsidR="0070576F" w:rsidRPr="00124464" w:rsidRDefault="0070576F" w:rsidP="00142CB0">
      <w:pPr>
        <w:spacing w:after="160" w:line="312" w:lineRule="auto"/>
        <w:rPr>
          <w:rFonts w:eastAsia="Calibri" w:cs="Times New Roman"/>
          <w:sz w:val="22"/>
        </w:rPr>
      </w:pPr>
      <w:proofErr w:type="spellStart"/>
      <w:r w:rsidRPr="00124464">
        <w:rPr>
          <w:rFonts w:eastAsia="Calibri" w:cs="Times New Roman"/>
          <w:sz w:val="22"/>
        </w:rPr>
        <w:t>Battams</w:t>
      </w:r>
      <w:proofErr w:type="spellEnd"/>
      <w:r w:rsidRPr="00124464">
        <w:rPr>
          <w:rFonts w:eastAsia="Calibri" w:cs="Times New Roman"/>
          <w:sz w:val="22"/>
        </w:rPr>
        <w:t xml:space="preserve">, S., Delany-Crowe, T., Fisher, M., Wright, L., Krieg, A., McDermott, D. </w:t>
      </w:r>
      <w:r w:rsidR="00EA4404" w:rsidRPr="00124464">
        <w:rPr>
          <w:rFonts w:eastAsia="Calibri" w:cs="Times New Roman"/>
          <w:sz w:val="22"/>
        </w:rPr>
        <w:t>and</w:t>
      </w:r>
      <w:r w:rsidRPr="00124464">
        <w:rPr>
          <w:rFonts w:eastAsia="Calibri" w:cs="Times New Roman"/>
          <w:sz w:val="22"/>
        </w:rPr>
        <w:t xml:space="preserve"> Baum, F. (2021). </w:t>
      </w:r>
      <w:hyperlink r:id="rId34" w:history="1">
        <w:r w:rsidRPr="00124464">
          <w:rPr>
            <w:rStyle w:val="Hyperlink"/>
            <w:rFonts w:eastAsia="Calibri" w:cs="Times New Roman"/>
            <w:sz w:val="22"/>
          </w:rPr>
          <w:t>Applying Crime Prevention and Health Promotion Frameworks to the Problem of High Incarceration Rates for Aboriginal and Torres Strait Islander Populations: Lessons from a Case Study from Victoria</w:t>
        </w:r>
      </w:hyperlink>
      <w:r w:rsidRPr="00124464">
        <w:rPr>
          <w:rFonts w:eastAsia="Calibri" w:cs="Times New Roman"/>
          <w:i/>
          <w:iCs/>
          <w:sz w:val="22"/>
        </w:rPr>
        <w:t>. The International Indigenous Policy Journal, 12</w:t>
      </w:r>
      <w:r w:rsidRPr="00124464">
        <w:rPr>
          <w:rFonts w:eastAsia="Calibri" w:cs="Times New Roman"/>
          <w:sz w:val="22"/>
        </w:rPr>
        <w:t xml:space="preserve">(2), 1–29. </w:t>
      </w:r>
    </w:p>
    <w:p w14:paraId="39556259" w14:textId="37E3022E" w:rsidR="00CD5DC0" w:rsidRPr="00124464" w:rsidRDefault="00CD5DC0" w:rsidP="00142CB0">
      <w:pPr>
        <w:spacing w:after="160" w:line="312" w:lineRule="auto"/>
        <w:rPr>
          <w:rFonts w:eastAsia="Calibri" w:cs="Times New Roman"/>
          <w:sz w:val="22"/>
          <w:lang w:val="en-CA"/>
        </w:rPr>
      </w:pPr>
      <w:r w:rsidRPr="00124464">
        <w:rPr>
          <w:rFonts w:eastAsia="Calibri" w:cs="Times New Roman"/>
          <w:sz w:val="22"/>
          <w:lang w:val="en-CA"/>
        </w:rPr>
        <w:t xml:space="preserve">Bonta, J. and Andrews, D.A. (2024). </w:t>
      </w:r>
      <w:r w:rsidRPr="00124464">
        <w:rPr>
          <w:rFonts w:eastAsia="Calibri" w:cs="Times New Roman"/>
          <w:i/>
          <w:iCs/>
          <w:sz w:val="22"/>
          <w:lang w:val="en-CA"/>
        </w:rPr>
        <w:t>The Psychology of Criminal Conduct</w:t>
      </w:r>
      <w:r w:rsidRPr="00124464">
        <w:rPr>
          <w:rFonts w:eastAsia="Calibri" w:cs="Times New Roman"/>
          <w:sz w:val="22"/>
          <w:lang w:val="en-CA"/>
        </w:rPr>
        <w:t xml:space="preserve"> (7th ed.). New York, NY: Routledge.</w:t>
      </w:r>
    </w:p>
    <w:p w14:paraId="760D1100" w14:textId="3FD3165A" w:rsidR="005F2367" w:rsidRPr="00124464" w:rsidRDefault="005F2367" w:rsidP="00142CB0">
      <w:pPr>
        <w:spacing w:after="160" w:line="312" w:lineRule="auto"/>
        <w:rPr>
          <w:rFonts w:eastAsia="Calibri" w:cs="Times New Roman"/>
          <w:sz w:val="22"/>
          <w:lang w:val="en-CA"/>
        </w:rPr>
      </w:pPr>
      <w:r w:rsidRPr="00124464">
        <w:rPr>
          <w:rFonts w:eastAsia="Calibri" w:cs="Times New Roman"/>
          <w:sz w:val="22"/>
          <w:lang w:val="en-CA"/>
        </w:rPr>
        <w:t xml:space="preserve">Canadian Centre of Integrative Psychology &amp; Healthcare (2025). </w:t>
      </w:r>
      <w:hyperlink r:id="rId35" w:anchor=":~:text=Chartered%20Psychologists&amp;text=Assessment%20%2D%20Fees%20will%20differ%20depending,under%20services%20for%20more%20information" w:history="1">
        <w:r w:rsidRPr="00124464">
          <w:rPr>
            <w:rStyle w:val="Hyperlink"/>
            <w:rFonts w:eastAsia="Calibri" w:cs="Times New Roman"/>
            <w:i/>
            <w:iCs/>
            <w:sz w:val="22"/>
            <w:lang w:val="en-CA"/>
          </w:rPr>
          <w:t>Ontario fees</w:t>
        </w:r>
      </w:hyperlink>
      <w:r w:rsidRPr="00124464">
        <w:rPr>
          <w:rFonts w:eastAsia="Calibri" w:cs="Times New Roman"/>
          <w:sz w:val="22"/>
          <w:lang w:val="en-CA"/>
        </w:rPr>
        <w:t xml:space="preserve">. </w:t>
      </w:r>
    </w:p>
    <w:p w14:paraId="25968535" w14:textId="77777777" w:rsidR="00142CB0" w:rsidRPr="00124464" w:rsidRDefault="00142CB0" w:rsidP="00142CB0">
      <w:pPr>
        <w:spacing w:after="160" w:line="312" w:lineRule="auto"/>
        <w:rPr>
          <w:sz w:val="22"/>
          <w:szCs w:val="18"/>
        </w:rPr>
      </w:pPr>
      <w:r w:rsidRPr="00124464">
        <w:rPr>
          <w:sz w:val="22"/>
          <w:szCs w:val="18"/>
        </w:rPr>
        <w:t>Canadian Press. (2023, March 29</w:t>
      </w:r>
      <w:r w:rsidRPr="00124464">
        <w:rPr>
          <w:i/>
          <w:iCs/>
          <w:sz w:val="22"/>
          <w:szCs w:val="18"/>
        </w:rPr>
        <w:t xml:space="preserve">). </w:t>
      </w:r>
      <w:hyperlink r:id="rId36" w:history="1">
        <w:r w:rsidRPr="00124464">
          <w:rPr>
            <w:rStyle w:val="Hyperlink"/>
            <w:i/>
            <w:iCs/>
            <w:sz w:val="22"/>
            <w:szCs w:val="18"/>
          </w:rPr>
          <w:t>B.C. increases monthly payments to foster care families</w:t>
        </w:r>
      </w:hyperlink>
      <w:r w:rsidRPr="00124464">
        <w:rPr>
          <w:i/>
          <w:iCs/>
          <w:sz w:val="22"/>
          <w:szCs w:val="18"/>
        </w:rPr>
        <w:t>.</w:t>
      </w:r>
      <w:r w:rsidRPr="00124464">
        <w:rPr>
          <w:sz w:val="22"/>
          <w:szCs w:val="18"/>
        </w:rPr>
        <w:t xml:space="preserve"> </w:t>
      </w:r>
    </w:p>
    <w:p w14:paraId="5B975964" w14:textId="0311262E" w:rsidR="005F2367" w:rsidRPr="00124464" w:rsidRDefault="005F2367" w:rsidP="00142CB0">
      <w:pPr>
        <w:spacing w:after="160" w:line="312" w:lineRule="auto"/>
        <w:rPr>
          <w:rFonts w:eastAsia="Calibri" w:cs="Times New Roman"/>
          <w:sz w:val="22"/>
          <w:lang w:val="en-CA"/>
        </w:rPr>
      </w:pPr>
      <w:r w:rsidRPr="00124464">
        <w:rPr>
          <w:rFonts w:eastAsia="Calibri" w:cs="Times New Roman"/>
          <w:sz w:val="22"/>
          <w:lang w:val="en-CA"/>
        </w:rPr>
        <w:t xml:space="preserve">Caramanna Friedberg (2024). </w:t>
      </w:r>
      <w:hyperlink r:id="rId37" w:anchor=":~:text=Uttering%20Threats%20is%20a%20hybrid,summary%20conviction%20or%20by%20indictment.&amp;text=If%20the%20Crown%20proceeds%20by,less%20a%20day%2C%20or%20both" w:history="1">
        <w:r w:rsidRPr="00124464">
          <w:rPr>
            <w:rStyle w:val="Hyperlink"/>
            <w:rFonts w:eastAsia="Calibri" w:cs="Times New Roman"/>
            <w:i/>
            <w:iCs/>
            <w:sz w:val="22"/>
            <w:lang w:val="en-CA"/>
          </w:rPr>
          <w:t>Uttering Threats Lawyer Toronto</w:t>
        </w:r>
      </w:hyperlink>
      <w:r w:rsidRPr="00124464">
        <w:rPr>
          <w:rFonts w:eastAsia="Calibri" w:cs="Times New Roman"/>
          <w:sz w:val="22"/>
          <w:lang w:val="en-CA"/>
        </w:rPr>
        <w:t xml:space="preserve">. </w:t>
      </w:r>
    </w:p>
    <w:p w14:paraId="57544259" w14:textId="77777777" w:rsidR="00142CB0" w:rsidRPr="00124464" w:rsidRDefault="00142CB0" w:rsidP="00142CB0">
      <w:pPr>
        <w:spacing w:after="160" w:line="312" w:lineRule="auto"/>
        <w:rPr>
          <w:sz w:val="22"/>
          <w:szCs w:val="18"/>
        </w:rPr>
      </w:pPr>
      <w:r w:rsidRPr="00124464">
        <w:rPr>
          <w:sz w:val="22"/>
          <w:szCs w:val="18"/>
        </w:rPr>
        <w:t xml:space="preserve">Children’s Aid Society of Ottawa (2024). </w:t>
      </w:r>
      <w:hyperlink r:id="rId38" w:history="1">
        <w:r w:rsidRPr="00124464">
          <w:rPr>
            <w:rStyle w:val="Hyperlink"/>
            <w:i/>
            <w:iCs/>
            <w:sz w:val="22"/>
            <w:szCs w:val="18"/>
          </w:rPr>
          <w:t>Annual Report 2023/24</w:t>
        </w:r>
      </w:hyperlink>
      <w:r w:rsidRPr="00124464">
        <w:rPr>
          <w:sz w:val="22"/>
          <w:szCs w:val="18"/>
        </w:rPr>
        <w:t xml:space="preserve">. </w:t>
      </w:r>
    </w:p>
    <w:p w14:paraId="3F518D6F" w14:textId="3A1471AD" w:rsidR="005F2367" w:rsidRPr="00124464" w:rsidRDefault="005F2367" w:rsidP="00142CB0">
      <w:pPr>
        <w:spacing w:after="160" w:line="312" w:lineRule="auto"/>
        <w:rPr>
          <w:rFonts w:eastAsia="Calibri" w:cs="Times New Roman"/>
          <w:sz w:val="22"/>
          <w:lang w:val="en-CA"/>
        </w:rPr>
      </w:pPr>
      <w:proofErr w:type="spellStart"/>
      <w:r w:rsidRPr="00124464">
        <w:rPr>
          <w:rFonts w:eastAsia="Calibri" w:cs="Times New Roman"/>
          <w:sz w:val="22"/>
          <w:lang w:val="en-CA"/>
        </w:rPr>
        <w:t>CoParenter</w:t>
      </w:r>
      <w:proofErr w:type="spellEnd"/>
      <w:r w:rsidRPr="00124464">
        <w:rPr>
          <w:rFonts w:eastAsia="Calibri" w:cs="Times New Roman"/>
          <w:sz w:val="22"/>
          <w:lang w:val="en-CA"/>
        </w:rPr>
        <w:t xml:space="preserve"> (2022). </w:t>
      </w:r>
      <w:hyperlink r:id="rId39" w:history="1">
        <w:r w:rsidRPr="00124464">
          <w:rPr>
            <w:rStyle w:val="Hyperlink"/>
            <w:rFonts w:eastAsia="Calibri" w:cs="Times New Roman"/>
            <w:i/>
            <w:iCs/>
            <w:sz w:val="22"/>
            <w:lang w:val="en-CA"/>
          </w:rPr>
          <w:t>How much does a custody battle cost?</w:t>
        </w:r>
      </w:hyperlink>
      <w:r w:rsidRPr="00124464">
        <w:rPr>
          <w:rFonts w:eastAsia="Calibri" w:cs="Times New Roman"/>
          <w:i/>
          <w:iCs/>
          <w:sz w:val="22"/>
          <w:lang w:val="en-CA"/>
        </w:rPr>
        <w:t xml:space="preserve"> </w:t>
      </w:r>
    </w:p>
    <w:p w14:paraId="16A99DA2" w14:textId="1E6C6453" w:rsidR="005F2367" w:rsidRPr="00124464" w:rsidRDefault="005F2367" w:rsidP="00142CB0">
      <w:pPr>
        <w:spacing w:after="160" w:line="312" w:lineRule="auto"/>
        <w:rPr>
          <w:rFonts w:eastAsia="Calibri" w:cs="Times New Roman"/>
          <w:sz w:val="22"/>
          <w:lang w:val="en-CA"/>
        </w:rPr>
      </w:pPr>
      <w:r w:rsidRPr="00124464">
        <w:rPr>
          <w:rFonts w:eastAsia="Calibri" w:cs="Times New Roman"/>
          <w:i/>
          <w:iCs/>
          <w:sz w:val="22"/>
          <w:lang w:val="en-CA"/>
        </w:rPr>
        <w:t>Criminal Code of Canada</w:t>
      </w:r>
      <w:r w:rsidRPr="00124464">
        <w:rPr>
          <w:rFonts w:eastAsia="Calibri" w:cs="Times New Roman"/>
          <w:sz w:val="22"/>
          <w:lang w:val="en-CA"/>
        </w:rPr>
        <w:t xml:space="preserve">, R.S.C. (1985, c-46). </w:t>
      </w:r>
    </w:p>
    <w:p w14:paraId="2E31C17A" w14:textId="2F49429A" w:rsidR="005F2367" w:rsidRPr="00124464" w:rsidRDefault="005F2367" w:rsidP="00142CB0">
      <w:pPr>
        <w:spacing w:after="160" w:line="312" w:lineRule="auto"/>
        <w:rPr>
          <w:rFonts w:eastAsia="Calibri" w:cs="Times New Roman"/>
          <w:sz w:val="22"/>
          <w:lang w:val="en-CA"/>
        </w:rPr>
      </w:pPr>
      <w:r w:rsidRPr="00124464">
        <w:rPr>
          <w:rFonts w:eastAsia="Calibri" w:cs="Times New Roman"/>
          <w:sz w:val="22"/>
          <w:lang w:val="en-CA"/>
        </w:rPr>
        <w:t>Day, D. M., Koegl, C. J., Rossman, L., &amp; Oziel, S. (2015</w:t>
      </w:r>
      <w:r w:rsidRPr="00124464">
        <w:rPr>
          <w:rFonts w:eastAsia="Calibri" w:cs="Times New Roman"/>
          <w:i/>
          <w:iCs/>
          <w:sz w:val="22"/>
          <w:lang w:val="en-CA"/>
        </w:rPr>
        <w:t xml:space="preserve">). </w:t>
      </w:r>
      <w:hyperlink r:id="rId40" w:history="1">
        <w:r w:rsidRPr="00124464">
          <w:rPr>
            <w:rStyle w:val="Hyperlink"/>
            <w:rFonts w:eastAsia="Calibri" w:cs="Times New Roman"/>
            <w:i/>
            <w:iCs/>
            <w:sz w:val="22"/>
            <w:lang w:val="en-CA"/>
          </w:rPr>
          <w:t>The monetary cost of criminal trajectories for an Ontario sample of offenders</w:t>
        </w:r>
      </w:hyperlink>
      <w:r w:rsidRPr="00124464">
        <w:rPr>
          <w:rFonts w:eastAsia="Calibri" w:cs="Times New Roman"/>
          <w:i/>
          <w:iCs/>
          <w:sz w:val="22"/>
          <w:lang w:val="en-CA"/>
        </w:rPr>
        <w:t>.</w:t>
      </w:r>
      <w:r w:rsidRPr="00124464">
        <w:rPr>
          <w:rFonts w:eastAsia="Calibri" w:cs="Times New Roman"/>
          <w:sz w:val="22"/>
          <w:lang w:val="en-CA"/>
        </w:rPr>
        <w:t xml:space="preserve"> Public Safety Canada, R011. </w:t>
      </w:r>
    </w:p>
    <w:p w14:paraId="0B77D4A0" w14:textId="6EA1BFEF" w:rsidR="005F2367" w:rsidRPr="00124464" w:rsidRDefault="005F2367" w:rsidP="00142CB0">
      <w:pPr>
        <w:spacing w:after="160" w:line="312" w:lineRule="auto"/>
        <w:rPr>
          <w:rFonts w:eastAsia="Calibri" w:cs="Times New Roman"/>
          <w:sz w:val="22"/>
          <w:lang w:val="en-CA"/>
        </w:rPr>
      </w:pPr>
      <w:r w:rsidRPr="00124464">
        <w:rPr>
          <w:rFonts w:eastAsia="Calibri" w:cs="Times New Roman"/>
          <w:sz w:val="22"/>
          <w:lang w:val="en-CA"/>
        </w:rPr>
        <w:t xml:space="preserve">Ellingwood, H. (2015). </w:t>
      </w:r>
      <w:hyperlink r:id="rId41" w:history="1">
        <w:r w:rsidRPr="00124464">
          <w:rPr>
            <w:rStyle w:val="Hyperlink"/>
            <w:rFonts w:eastAsia="Calibri" w:cs="Times New Roman"/>
            <w:i/>
            <w:iCs/>
            <w:sz w:val="22"/>
            <w:lang w:val="en-CA"/>
          </w:rPr>
          <w:t>A better estimation of police costs by offence types</w:t>
        </w:r>
      </w:hyperlink>
      <w:r w:rsidRPr="00124464">
        <w:rPr>
          <w:rFonts w:eastAsia="Calibri" w:cs="Times New Roman"/>
          <w:i/>
          <w:iCs/>
          <w:sz w:val="22"/>
          <w:lang w:val="en-CA"/>
        </w:rPr>
        <w:t>.</w:t>
      </w:r>
      <w:r w:rsidRPr="00124464">
        <w:rPr>
          <w:rFonts w:eastAsia="Calibri" w:cs="Times New Roman"/>
          <w:sz w:val="22"/>
          <w:lang w:val="en-CA"/>
        </w:rPr>
        <w:t xml:space="preserve"> Public Safety Canada, R-018. </w:t>
      </w:r>
    </w:p>
    <w:p w14:paraId="256ED092" w14:textId="74A97DC3" w:rsidR="00F3289F" w:rsidRPr="00124464" w:rsidRDefault="00F3289F" w:rsidP="00142CB0">
      <w:pPr>
        <w:spacing w:after="160" w:line="312" w:lineRule="auto"/>
        <w:rPr>
          <w:rFonts w:eastAsia="Calibri" w:cs="Times New Roman"/>
          <w:sz w:val="22"/>
          <w:lang w:val="en-CA"/>
        </w:rPr>
      </w:pPr>
      <w:r w:rsidRPr="00124464">
        <w:rPr>
          <w:rFonts w:eastAsia="Calibri" w:cs="Times New Roman"/>
          <w:sz w:val="22"/>
          <w:lang w:val="en-CA"/>
        </w:rPr>
        <w:t xml:space="preserve">Family Services Ottawa (n.d.). </w:t>
      </w:r>
      <w:hyperlink r:id="rId42" w:history="1">
        <w:r w:rsidRPr="00124464">
          <w:rPr>
            <w:rStyle w:val="Hyperlink"/>
            <w:rFonts w:eastAsia="Calibri" w:cs="Times New Roman"/>
            <w:i/>
            <w:iCs/>
            <w:sz w:val="22"/>
            <w:lang w:val="en-CA"/>
          </w:rPr>
          <w:t>Anger management… Especially for parents</w:t>
        </w:r>
      </w:hyperlink>
      <w:r w:rsidRPr="00124464">
        <w:rPr>
          <w:rFonts w:eastAsia="Calibri" w:cs="Times New Roman"/>
          <w:i/>
          <w:iCs/>
          <w:sz w:val="22"/>
          <w:lang w:val="en-CA"/>
        </w:rPr>
        <w:t xml:space="preserve">. </w:t>
      </w:r>
    </w:p>
    <w:p w14:paraId="7527619D" w14:textId="68C111FB" w:rsidR="00F06A48" w:rsidRPr="00124464" w:rsidRDefault="00F06A48" w:rsidP="00142CB0">
      <w:pPr>
        <w:spacing w:after="160" w:line="312" w:lineRule="auto"/>
        <w:rPr>
          <w:rFonts w:eastAsia="Calibri" w:cs="Times New Roman"/>
          <w:sz w:val="22"/>
        </w:rPr>
      </w:pPr>
      <w:r w:rsidRPr="00124464">
        <w:rPr>
          <w:rFonts w:eastAsia="Calibri" w:cs="Times New Roman"/>
          <w:sz w:val="22"/>
        </w:rPr>
        <w:t xml:space="preserve">Farrington, D. (2019). </w:t>
      </w:r>
      <w:hyperlink r:id="rId43" w:history="1">
        <w:r w:rsidRPr="00124464">
          <w:rPr>
            <w:rStyle w:val="Hyperlink"/>
            <w:rFonts w:eastAsia="Calibri" w:cs="Times New Roman"/>
            <w:sz w:val="22"/>
          </w:rPr>
          <w:t xml:space="preserve">The Integrated Cognitive Antisocial Potential (ICAP) </w:t>
        </w:r>
        <w:proofErr w:type="spellStart"/>
        <w:r w:rsidRPr="00124464">
          <w:rPr>
            <w:rStyle w:val="Hyperlink"/>
            <w:rFonts w:eastAsia="Calibri" w:cs="Times New Roman"/>
            <w:sz w:val="22"/>
          </w:rPr>
          <w:t>Thepry</w:t>
        </w:r>
        <w:proofErr w:type="spellEnd"/>
        <w:r w:rsidRPr="00124464">
          <w:rPr>
            <w:rStyle w:val="Hyperlink"/>
            <w:rFonts w:eastAsia="Calibri" w:cs="Times New Roman"/>
            <w:sz w:val="22"/>
          </w:rPr>
          <w:t>: Past, Present, and Future</w:t>
        </w:r>
      </w:hyperlink>
      <w:r w:rsidRPr="00124464">
        <w:rPr>
          <w:rFonts w:eastAsia="Calibri" w:cs="Times New Roman"/>
          <w:sz w:val="22"/>
        </w:rPr>
        <w:t xml:space="preserve">. </w:t>
      </w:r>
      <w:r w:rsidRPr="00124464">
        <w:rPr>
          <w:rFonts w:eastAsia="Calibri" w:cs="Times New Roman"/>
          <w:i/>
          <w:iCs/>
          <w:sz w:val="22"/>
        </w:rPr>
        <w:t xml:space="preserve">Journal of Developmental and Life-Course Criminology, 6 </w:t>
      </w:r>
      <w:r w:rsidRPr="00124464">
        <w:rPr>
          <w:rFonts w:eastAsia="Calibri" w:cs="Times New Roman"/>
          <w:sz w:val="22"/>
        </w:rPr>
        <w:t xml:space="preserve">(2). </w:t>
      </w:r>
    </w:p>
    <w:p w14:paraId="25EBD217" w14:textId="34416AFE" w:rsidR="005F2367" w:rsidRPr="00124464" w:rsidRDefault="005F2367" w:rsidP="00142CB0">
      <w:pPr>
        <w:spacing w:after="160" w:line="312" w:lineRule="auto"/>
        <w:rPr>
          <w:rFonts w:eastAsia="Calibri" w:cs="Times New Roman"/>
          <w:sz w:val="22"/>
        </w:rPr>
      </w:pPr>
      <w:r w:rsidRPr="00124464">
        <w:rPr>
          <w:rFonts w:eastAsia="Calibri" w:cs="Times New Roman"/>
          <w:sz w:val="22"/>
        </w:rPr>
        <w:t xml:space="preserve">Gabor, T. (2015). </w:t>
      </w:r>
      <w:hyperlink r:id="rId44" w:history="1">
        <w:r w:rsidRPr="00124464">
          <w:rPr>
            <w:rStyle w:val="Hyperlink"/>
            <w:rFonts w:eastAsia="Calibri" w:cs="Times New Roman"/>
            <w:i/>
            <w:iCs/>
            <w:sz w:val="22"/>
          </w:rPr>
          <w:t>Costs of crime and criminal justice responses</w:t>
        </w:r>
      </w:hyperlink>
      <w:r w:rsidRPr="00124464">
        <w:rPr>
          <w:rFonts w:eastAsia="Calibri" w:cs="Times New Roman"/>
          <w:i/>
          <w:iCs/>
          <w:sz w:val="22"/>
        </w:rPr>
        <w:t xml:space="preserve">. </w:t>
      </w:r>
      <w:r w:rsidRPr="00124464">
        <w:rPr>
          <w:rFonts w:eastAsia="Calibri" w:cs="Times New Roman"/>
          <w:sz w:val="22"/>
        </w:rPr>
        <w:t xml:space="preserve">Public Safety Canada, R022. </w:t>
      </w:r>
    </w:p>
    <w:p w14:paraId="1BAAB545" w14:textId="5C5C630E" w:rsidR="00CD5DC0" w:rsidRPr="00124464" w:rsidRDefault="00CD5DC0" w:rsidP="00142CB0">
      <w:pPr>
        <w:spacing w:after="160" w:line="312" w:lineRule="auto"/>
        <w:rPr>
          <w:rFonts w:eastAsia="Calibri" w:cs="Times New Roman"/>
          <w:sz w:val="22"/>
        </w:rPr>
      </w:pPr>
      <w:r w:rsidRPr="00124464">
        <w:rPr>
          <w:rFonts w:eastAsia="Calibri" w:cs="Times New Roman"/>
          <w:sz w:val="22"/>
        </w:rPr>
        <w:t xml:space="preserve">Gallo A, Belanger M, </w:t>
      </w:r>
      <w:proofErr w:type="spellStart"/>
      <w:r w:rsidRPr="00124464">
        <w:rPr>
          <w:rFonts w:eastAsia="Calibri" w:cs="Times New Roman"/>
          <w:sz w:val="22"/>
        </w:rPr>
        <w:t>Abracen</w:t>
      </w:r>
      <w:proofErr w:type="spellEnd"/>
      <w:r w:rsidRPr="00124464">
        <w:rPr>
          <w:rFonts w:eastAsia="Calibri" w:cs="Times New Roman"/>
          <w:sz w:val="22"/>
        </w:rPr>
        <w:t xml:space="preserve"> J, Looman J, </w:t>
      </w:r>
      <w:proofErr w:type="spellStart"/>
      <w:r w:rsidRPr="00124464">
        <w:rPr>
          <w:rFonts w:eastAsia="Calibri" w:cs="Times New Roman"/>
          <w:sz w:val="22"/>
        </w:rPr>
        <w:t>Picheca</w:t>
      </w:r>
      <w:proofErr w:type="spellEnd"/>
      <w:r w:rsidRPr="00124464">
        <w:rPr>
          <w:rFonts w:eastAsia="Calibri" w:cs="Times New Roman"/>
          <w:sz w:val="22"/>
        </w:rPr>
        <w:t xml:space="preserve"> J, et al. (2014) </w:t>
      </w:r>
      <w:hyperlink r:id="rId45" w:history="1">
        <w:r w:rsidRPr="00124464">
          <w:rPr>
            <w:rStyle w:val="Hyperlink"/>
            <w:rFonts w:eastAsia="Calibri" w:cs="Times New Roman"/>
            <w:sz w:val="22"/>
          </w:rPr>
          <w:t>Treatment of High-Risk High-Need Sexual Offenders: The Integrated Risk Need Responsivity Model (RNR-I)</w:t>
        </w:r>
      </w:hyperlink>
      <w:r w:rsidRPr="00124464">
        <w:rPr>
          <w:rFonts w:eastAsia="Calibri" w:cs="Times New Roman"/>
          <w:sz w:val="22"/>
        </w:rPr>
        <w:t xml:space="preserve">. </w:t>
      </w:r>
      <w:r w:rsidRPr="00124464">
        <w:rPr>
          <w:rFonts w:eastAsia="Calibri" w:cs="Times New Roman"/>
          <w:i/>
          <w:iCs/>
          <w:sz w:val="22"/>
        </w:rPr>
        <w:t>Ann Psychiatry Ment Health 3</w:t>
      </w:r>
      <w:r w:rsidRPr="00124464">
        <w:rPr>
          <w:rFonts w:eastAsia="Calibri" w:cs="Times New Roman"/>
          <w:sz w:val="22"/>
        </w:rPr>
        <w:t>(1): 1018.</w:t>
      </w:r>
      <w:r w:rsidRPr="00124464">
        <w:rPr>
          <w:sz w:val="22"/>
        </w:rPr>
        <w:t xml:space="preserve"> </w:t>
      </w:r>
    </w:p>
    <w:p w14:paraId="50EF269C" w14:textId="46732086" w:rsidR="005F2367" w:rsidRPr="00124464" w:rsidRDefault="005F2367" w:rsidP="00142CB0">
      <w:pPr>
        <w:spacing w:after="160" w:line="312" w:lineRule="auto"/>
        <w:rPr>
          <w:rFonts w:eastAsia="Calibri" w:cs="Times New Roman"/>
          <w:sz w:val="22"/>
        </w:rPr>
      </w:pPr>
      <w:r w:rsidRPr="00124464">
        <w:rPr>
          <w:rFonts w:eastAsia="Calibri" w:cs="Times New Roman"/>
          <w:sz w:val="22"/>
        </w:rPr>
        <w:t xml:space="preserve">Government of Alberta (2015). </w:t>
      </w:r>
      <w:hyperlink r:id="rId46" w:history="1">
        <w:r w:rsidRPr="00124464">
          <w:rPr>
            <w:rStyle w:val="Hyperlink"/>
            <w:rFonts w:eastAsia="Calibri" w:cs="Times New Roman"/>
            <w:i/>
            <w:iCs/>
            <w:sz w:val="22"/>
          </w:rPr>
          <w:t>Safe Communities Innovation Fund Pilot Project Executive Summaries: Individual summaries written by Alberta community crime prevention organizations</w:t>
        </w:r>
      </w:hyperlink>
      <w:r w:rsidRPr="00124464">
        <w:rPr>
          <w:rFonts w:eastAsia="Calibri" w:cs="Times New Roman"/>
          <w:i/>
          <w:iCs/>
          <w:sz w:val="22"/>
        </w:rPr>
        <w:t xml:space="preserve">. </w:t>
      </w:r>
    </w:p>
    <w:p w14:paraId="7894A882" w14:textId="348D1714" w:rsidR="005F2367" w:rsidRPr="00124464" w:rsidRDefault="005F2367" w:rsidP="00142CB0">
      <w:pPr>
        <w:spacing w:after="160" w:line="312" w:lineRule="auto"/>
        <w:rPr>
          <w:rFonts w:eastAsia="Calibri" w:cs="Times New Roman"/>
          <w:sz w:val="22"/>
        </w:rPr>
      </w:pPr>
      <w:r w:rsidRPr="00124464">
        <w:rPr>
          <w:rFonts w:eastAsia="Calibri" w:cs="Times New Roman"/>
          <w:sz w:val="22"/>
        </w:rPr>
        <w:t xml:space="preserve">Government of Canada (2024). </w:t>
      </w:r>
      <w:hyperlink r:id="rId47" w:history="1">
        <w:r w:rsidRPr="00124464">
          <w:rPr>
            <w:rStyle w:val="Hyperlink"/>
            <w:rFonts w:eastAsia="Calibri" w:cs="Times New Roman"/>
            <w:i/>
            <w:iCs/>
            <w:sz w:val="22"/>
          </w:rPr>
          <w:t>Job bank: Special Education teaching – Elementary School in Ontario</w:t>
        </w:r>
      </w:hyperlink>
      <w:r w:rsidRPr="00124464">
        <w:rPr>
          <w:rFonts w:eastAsia="Calibri" w:cs="Times New Roman"/>
          <w:sz w:val="22"/>
        </w:rPr>
        <w:t xml:space="preserve">. </w:t>
      </w:r>
    </w:p>
    <w:p w14:paraId="55FD899C" w14:textId="61DB0AB8" w:rsidR="005F2367" w:rsidRPr="00124464" w:rsidRDefault="005F2367" w:rsidP="00142CB0">
      <w:pPr>
        <w:spacing w:after="160" w:line="312" w:lineRule="auto"/>
        <w:rPr>
          <w:rFonts w:eastAsia="Calibri" w:cs="Times New Roman"/>
          <w:sz w:val="22"/>
        </w:rPr>
      </w:pPr>
      <w:r w:rsidRPr="00124464">
        <w:rPr>
          <w:rFonts w:eastAsia="Calibri" w:cs="Times New Roman"/>
          <w:sz w:val="22"/>
        </w:rPr>
        <w:t xml:space="preserve">Government of Ontario Ministry of Education (2023). </w:t>
      </w:r>
      <w:hyperlink r:id="rId48" w:history="1">
        <w:r w:rsidRPr="00124464">
          <w:rPr>
            <w:rStyle w:val="Hyperlink"/>
            <w:rFonts w:eastAsia="Calibri" w:cs="Times New Roman"/>
            <w:i/>
            <w:iCs/>
            <w:sz w:val="22"/>
          </w:rPr>
          <w:t>Special Education funding guidelines: Special Equipment Amount (SEA)</w:t>
        </w:r>
      </w:hyperlink>
      <w:r w:rsidRPr="00124464">
        <w:rPr>
          <w:rFonts w:eastAsia="Calibri" w:cs="Times New Roman"/>
          <w:i/>
          <w:iCs/>
          <w:sz w:val="22"/>
        </w:rPr>
        <w:t>, 2023-24</w:t>
      </w:r>
      <w:r w:rsidRPr="00124464">
        <w:rPr>
          <w:rFonts w:eastAsia="Calibri" w:cs="Times New Roman"/>
          <w:sz w:val="22"/>
        </w:rPr>
        <w:t xml:space="preserve">. </w:t>
      </w:r>
    </w:p>
    <w:p w14:paraId="691EAFF6" w14:textId="0F73C07E" w:rsidR="005F2367" w:rsidRPr="00124464" w:rsidRDefault="005F2367" w:rsidP="00142CB0">
      <w:pPr>
        <w:spacing w:after="160" w:line="312" w:lineRule="auto"/>
        <w:rPr>
          <w:rFonts w:eastAsia="Calibri" w:cs="Times New Roman"/>
          <w:sz w:val="22"/>
        </w:rPr>
      </w:pPr>
      <w:r w:rsidRPr="00124464">
        <w:rPr>
          <w:rFonts w:eastAsia="Calibri" w:cs="Times New Roman"/>
          <w:sz w:val="22"/>
        </w:rPr>
        <w:t xml:space="preserve">Income Security and Advocacy Centre (2023). </w:t>
      </w:r>
      <w:hyperlink r:id="rId49" w:history="1">
        <w:r w:rsidRPr="00124464">
          <w:rPr>
            <w:rStyle w:val="Hyperlink"/>
            <w:rFonts w:eastAsia="Calibri" w:cs="Times New Roman"/>
            <w:i/>
            <w:iCs/>
            <w:sz w:val="22"/>
          </w:rPr>
          <w:t>OW &amp; ODSP Rates and the Ontario Child Benefit: Current to July 2023</w:t>
        </w:r>
      </w:hyperlink>
      <w:r w:rsidRPr="00124464">
        <w:rPr>
          <w:rFonts w:eastAsia="Calibri" w:cs="Times New Roman"/>
          <w:i/>
          <w:iCs/>
          <w:sz w:val="22"/>
        </w:rPr>
        <w:t xml:space="preserve">. </w:t>
      </w:r>
    </w:p>
    <w:p w14:paraId="0DBA1998" w14:textId="377298AA" w:rsidR="00E56AEA" w:rsidRPr="00124464" w:rsidRDefault="00E56AEA" w:rsidP="00142CB0">
      <w:pPr>
        <w:spacing w:after="160" w:line="312" w:lineRule="auto"/>
        <w:rPr>
          <w:rFonts w:eastAsia="Calibri" w:cs="Times New Roman"/>
          <w:sz w:val="22"/>
        </w:rPr>
      </w:pPr>
      <w:r w:rsidRPr="00124464">
        <w:rPr>
          <w:rFonts w:eastAsia="Calibri" w:cs="Times New Roman"/>
          <w:sz w:val="22"/>
        </w:rPr>
        <w:t xml:space="preserve">Jayaratne, K.S.U. (2013, April). </w:t>
      </w:r>
      <w:hyperlink r:id="rId50" w:history="1">
        <w:r w:rsidRPr="00124464">
          <w:rPr>
            <w:rStyle w:val="Hyperlink"/>
            <w:rFonts w:eastAsia="Calibri" w:cs="Times New Roman"/>
            <w:sz w:val="22"/>
          </w:rPr>
          <w:t>Learn how to analyze cost-benefits of extension programming</w:t>
        </w:r>
      </w:hyperlink>
      <w:r w:rsidRPr="00124464">
        <w:rPr>
          <w:rFonts w:eastAsia="Calibri" w:cs="Times New Roman"/>
          <w:sz w:val="22"/>
        </w:rPr>
        <w:t xml:space="preserve">. </w:t>
      </w:r>
      <w:r w:rsidRPr="00124464">
        <w:rPr>
          <w:rFonts w:eastAsia="Calibri" w:cs="Times New Roman"/>
          <w:i/>
          <w:iCs/>
          <w:sz w:val="22"/>
        </w:rPr>
        <w:t xml:space="preserve">North Carolina State University and </w:t>
      </w:r>
      <w:proofErr w:type="spellStart"/>
      <w:r w:rsidRPr="00124464">
        <w:rPr>
          <w:rFonts w:eastAsia="Calibri" w:cs="Times New Roman"/>
          <w:i/>
          <w:iCs/>
          <w:sz w:val="22"/>
        </w:rPr>
        <w:t>A</w:t>
      </w:r>
      <w:r w:rsidR="00EA4404" w:rsidRPr="00124464">
        <w:rPr>
          <w:rFonts w:eastAsia="Calibri" w:cs="Times New Roman"/>
          <w:i/>
          <w:iCs/>
          <w:sz w:val="22"/>
        </w:rPr>
        <w:t>and</w:t>
      </w:r>
      <w:r w:rsidRPr="00124464">
        <w:rPr>
          <w:rFonts w:eastAsia="Calibri" w:cs="Times New Roman"/>
          <w:i/>
          <w:iCs/>
          <w:sz w:val="22"/>
        </w:rPr>
        <w:t>T</w:t>
      </w:r>
      <w:proofErr w:type="spellEnd"/>
      <w:r w:rsidRPr="00124464">
        <w:rPr>
          <w:rFonts w:eastAsia="Calibri" w:cs="Times New Roman"/>
          <w:i/>
          <w:iCs/>
          <w:sz w:val="22"/>
        </w:rPr>
        <w:t xml:space="preserve"> State University Cooperative Extension</w:t>
      </w:r>
      <w:r w:rsidRPr="00124464">
        <w:rPr>
          <w:rFonts w:eastAsia="Calibri" w:cs="Times New Roman"/>
          <w:sz w:val="22"/>
        </w:rPr>
        <w:t xml:space="preserve">. </w:t>
      </w:r>
    </w:p>
    <w:p w14:paraId="7EF8CFBC" w14:textId="320DCBBD" w:rsidR="00CD5DC0" w:rsidRPr="00124464" w:rsidRDefault="00CD5DC0" w:rsidP="00142CB0">
      <w:pPr>
        <w:spacing w:after="160" w:line="312" w:lineRule="auto"/>
        <w:rPr>
          <w:rFonts w:eastAsia="Calibri" w:cs="Times New Roman"/>
          <w:sz w:val="22"/>
          <w:lang w:val="en-CA"/>
        </w:rPr>
      </w:pPr>
      <w:r w:rsidRPr="00124464">
        <w:rPr>
          <w:rFonts w:eastAsia="Calibri" w:cs="Times New Roman"/>
          <w:sz w:val="22"/>
          <w:lang w:val="en-CA"/>
        </w:rPr>
        <w:t xml:space="preserve">Jones, N. J., Brown, S. L., Robinson, D., </w:t>
      </w:r>
      <w:r w:rsidR="00EA4404" w:rsidRPr="00124464">
        <w:rPr>
          <w:rFonts w:eastAsia="Calibri" w:cs="Times New Roman"/>
          <w:sz w:val="22"/>
          <w:lang w:val="en-CA"/>
        </w:rPr>
        <w:t>and</w:t>
      </w:r>
      <w:r w:rsidRPr="00124464">
        <w:rPr>
          <w:rFonts w:eastAsia="Calibri" w:cs="Times New Roman"/>
          <w:sz w:val="22"/>
          <w:lang w:val="en-CA"/>
        </w:rPr>
        <w:t xml:space="preserve"> Frey, D. (2016). </w:t>
      </w:r>
      <w:hyperlink r:id="rId51" w:history="1">
        <w:r w:rsidRPr="00124464">
          <w:rPr>
            <w:rStyle w:val="Hyperlink"/>
            <w:rFonts w:eastAsia="Calibri" w:cs="Times New Roman"/>
            <w:sz w:val="22"/>
            <w:lang w:val="en-CA"/>
          </w:rPr>
          <w:t>Validity of the youth assessment and screening instrument: A juvenile justice tool incorporating risks, needs, and strengths</w:t>
        </w:r>
      </w:hyperlink>
      <w:r w:rsidRPr="00124464">
        <w:rPr>
          <w:rFonts w:eastAsia="Calibri" w:cs="Times New Roman"/>
          <w:sz w:val="22"/>
          <w:lang w:val="en-CA"/>
        </w:rPr>
        <w:t xml:space="preserve">. </w:t>
      </w:r>
      <w:r w:rsidRPr="00124464">
        <w:rPr>
          <w:rFonts w:eastAsia="Calibri" w:cs="Times New Roman"/>
          <w:i/>
          <w:iCs/>
          <w:sz w:val="22"/>
          <w:lang w:val="en-CA"/>
        </w:rPr>
        <w:t xml:space="preserve">Law and Human </w:t>
      </w:r>
      <w:r w:rsidR="0034275C" w:rsidRPr="00124464">
        <w:rPr>
          <w:rFonts w:eastAsia="Calibri" w:cs="Times New Roman"/>
          <w:i/>
          <w:iCs/>
          <w:sz w:val="22"/>
          <w:lang w:val="en-CA"/>
        </w:rPr>
        <w:t>Behaviour</w:t>
      </w:r>
      <w:r w:rsidRPr="00124464">
        <w:rPr>
          <w:rFonts w:eastAsia="Calibri" w:cs="Times New Roman"/>
          <w:i/>
          <w:iCs/>
          <w:sz w:val="22"/>
          <w:lang w:val="en-CA"/>
        </w:rPr>
        <w:t>, 40</w:t>
      </w:r>
      <w:r w:rsidRPr="00124464">
        <w:rPr>
          <w:rFonts w:eastAsia="Calibri" w:cs="Times New Roman"/>
          <w:sz w:val="22"/>
          <w:lang w:val="en-CA"/>
        </w:rPr>
        <w:t xml:space="preserve">(2), 182–194. </w:t>
      </w:r>
    </w:p>
    <w:p w14:paraId="1DBAEC2E" w14:textId="5334F270" w:rsidR="005F2367" w:rsidRPr="00124464" w:rsidRDefault="005F2367" w:rsidP="00142CB0">
      <w:pPr>
        <w:spacing w:after="160" w:line="312" w:lineRule="auto"/>
        <w:rPr>
          <w:rFonts w:eastAsia="Calibri" w:cs="Times New Roman"/>
          <w:sz w:val="22"/>
        </w:rPr>
      </w:pPr>
      <w:r w:rsidRPr="00124464">
        <w:rPr>
          <w:rFonts w:eastAsia="Calibri" w:cs="Times New Roman"/>
          <w:sz w:val="22"/>
          <w:lang w:val="en-CA"/>
        </w:rPr>
        <w:t xml:space="preserve">Law for Families (2018). </w:t>
      </w:r>
      <w:hyperlink r:id="rId52" w:history="1">
        <w:r w:rsidRPr="00124464">
          <w:rPr>
            <w:rStyle w:val="Hyperlink"/>
            <w:rFonts w:eastAsia="Calibri" w:cs="Times New Roman"/>
            <w:i/>
            <w:iCs/>
            <w:sz w:val="22"/>
            <w:lang w:val="en-CA"/>
          </w:rPr>
          <w:t>The average cost of child custody</w:t>
        </w:r>
      </w:hyperlink>
      <w:r w:rsidRPr="00124464">
        <w:rPr>
          <w:rFonts w:eastAsia="Calibri" w:cs="Times New Roman"/>
          <w:i/>
          <w:iCs/>
          <w:sz w:val="22"/>
          <w:lang w:val="en-CA"/>
        </w:rPr>
        <w:t xml:space="preserve">. </w:t>
      </w:r>
    </w:p>
    <w:p w14:paraId="7AD9CF70" w14:textId="3D9DB44E" w:rsidR="005F2367" w:rsidRPr="00124464" w:rsidRDefault="005F2367" w:rsidP="00142CB0">
      <w:pPr>
        <w:spacing w:after="160" w:line="312" w:lineRule="auto"/>
        <w:rPr>
          <w:rFonts w:eastAsia="Calibri" w:cs="Times New Roman"/>
          <w:sz w:val="22"/>
          <w:lang w:val="en-CA"/>
        </w:rPr>
      </w:pPr>
      <w:r w:rsidRPr="00124464">
        <w:rPr>
          <w:rFonts w:eastAsia="Calibri" w:cs="Times New Roman"/>
          <w:sz w:val="22"/>
        </w:rPr>
        <w:t xml:space="preserve">Lemieux Litigation (2021). </w:t>
      </w:r>
      <w:hyperlink r:id="rId53" w:history="1">
        <w:r w:rsidRPr="00124464">
          <w:rPr>
            <w:rStyle w:val="Hyperlink"/>
            <w:rFonts w:eastAsia="Calibri" w:cs="Times New Roman"/>
            <w:i/>
            <w:iCs/>
            <w:sz w:val="22"/>
            <w:lang w:val="en-CA"/>
          </w:rPr>
          <w:t>How much does a family lawyer cost?</w:t>
        </w:r>
      </w:hyperlink>
      <w:r w:rsidRPr="00124464">
        <w:rPr>
          <w:rFonts w:eastAsia="Calibri" w:cs="Times New Roman"/>
          <w:i/>
          <w:iCs/>
          <w:sz w:val="22"/>
          <w:lang w:val="en-CA"/>
        </w:rPr>
        <w:t xml:space="preserve"> </w:t>
      </w:r>
    </w:p>
    <w:p w14:paraId="2A465DED" w14:textId="341C5223" w:rsidR="00CD5DC0" w:rsidRPr="00124464" w:rsidRDefault="00CD5DC0" w:rsidP="00142CB0">
      <w:pPr>
        <w:spacing w:after="160" w:line="312" w:lineRule="auto"/>
        <w:rPr>
          <w:rFonts w:eastAsia="Calibri" w:cs="Times New Roman"/>
          <w:sz w:val="22"/>
        </w:rPr>
      </w:pPr>
      <w:r w:rsidRPr="00124464">
        <w:rPr>
          <w:rFonts w:eastAsia="Calibri" w:cs="Times New Roman"/>
          <w:sz w:val="22"/>
        </w:rPr>
        <w:t xml:space="preserve">Li, Ting. (2023). </w:t>
      </w:r>
      <w:hyperlink r:id="rId54" w:history="1">
        <w:r w:rsidRPr="00124464">
          <w:rPr>
            <w:rStyle w:val="Hyperlink"/>
            <w:rFonts w:eastAsia="Calibri" w:cs="Times New Roman"/>
            <w:i/>
            <w:iCs/>
            <w:sz w:val="22"/>
          </w:rPr>
          <w:t>Costs of crime in Canada, 2014</w:t>
        </w:r>
      </w:hyperlink>
      <w:r w:rsidRPr="00124464">
        <w:rPr>
          <w:rFonts w:eastAsia="Calibri" w:cs="Times New Roman"/>
          <w:sz w:val="22"/>
        </w:rPr>
        <w:t xml:space="preserve">. Department of Justice Canada.  </w:t>
      </w:r>
    </w:p>
    <w:p w14:paraId="64ED1682" w14:textId="3FD75573" w:rsidR="001A65B7" w:rsidRPr="00124464" w:rsidRDefault="001A65B7" w:rsidP="00142CB0">
      <w:pPr>
        <w:spacing w:after="160" w:line="312" w:lineRule="auto"/>
        <w:rPr>
          <w:rFonts w:eastAsia="Calibri" w:cs="Times New Roman"/>
          <w:sz w:val="22"/>
        </w:rPr>
      </w:pPr>
      <w:r w:rsidRPr="00124464">
        <w:rPr>
          <w:rFonts w:eastAsia="Calibri" w:cs="Times New Roman"/>
          <w:sz w:val="22"/>
        </w:rPr>
        <w:t xml:space="preserve">McIntosh, C. &amp; Li, J. (2012). </w:t>
      </w:r>
      <w:hyperlink r:id="rId55" w:history="1">
        <w:r w:rsidRPr="00124464">
          <w:rPr>
            <w:rStyle w:val="Hyperlink"/>
            <w:rFonts w:eastAsia="Calibri" w:cs="Times New Roman"/>
            <w:i/>
            <w:iCs/>
            <w:sz w:val="22"/>
          </w:rPr>
          <w:t>An introduction to economic analysis in crime prevention: The why, how and so what</w:t>
        </w:r>
      </w:hyperlink>
      <w:r w:rsidRPr="00124464">
        <w:rPr>
          <w:rFonts w:eastAsia="Calibri" w:cs="Times New Roman"/>
          <w:i/>
          <w:iCs/>
          <w:sz w:val="22"/>
        </w:rPr>
        <w:t xml:space="preserve">. </w:t>
      </w:r>
      <w:r w:rsidRPr="00124464">
        <w:rPr>
          <w:rFonts w:eastAsia="Calibri" w:cs="Times New Roman"/>
          <w:sz w:val="22"/>
        </w:rPr>
        <w:t xml:space="preserve">Public Safety Canada. </w:t>
      </w:r>
    </w:p>
    <w:p w14:paraId="6C27117C" w14:textId="6B980B29" w:rsidR="005F2367" w:rsidRPr="00124464" w:rsidRDefault="005F2367" w:rsidP="00142CB0">
      <w:pPr>
        <w:spacing w:after="160" w:line="312" w:lineRule="auto"/>
        <w:rPr>
          <w:rFonts w:eastAsia="Calibri" w:cs="Times New Roman"/>
          <w:sz w:val="22"/>
        </w:rPr>
      </w:pPr>
      <w:r w:rsidRPr="00124464">
        <w:rPr>
          <w:rFonts w:eastAsia="Calibri" w:cs="Times New Roman"/>
          <w:sz w:val="22"/>
        </w:rPr>
        <w:t xml:space="preserve">Office of the Parliamentary Budget Officer (2018). </w:t>
      </w:r>
      <w:hyperlink r:id="rId56" w:history="1">
        <w:r w:rsidRPr="00124464">
          <w:rPr>
            <w:rStyle w:val="Hyperlink"/>
            <w:rFonts w:eastAsia="Calibri" w:cs="Times New Roman"/>
            <w:i/>
            <w:iCs/>
            <w:sz w:val="22"/>
          </w:rPr>
          <w:t>Update on costs of incarceration</w:t>
        </w:r>
      </w:hyperlink>
      <w:r w:rsidRPr="00124464">
        <w:rPr>
          <w:rFonts w:eastAsia="Calibri" w:cs="Times New Roman"/>
          <w:sz w:val="22"/>
        </w:rPr>
        <w:t xml:space="preserve">. </w:t>
      </w:r>
    </w:p>
    <w:p w14:paraId="581A42F0" w14:textId="35ACFB1B" w:rsidR="005F2367" w:rsidRPr="00124464" w:rsidRDefault="005F2367" w:rsidP="00142CB0">
      <w:pPr>
        <w:spacing w:after="160" w:line="312" w:lineRule="auto"/>
        <w:rPr>
          <w:rFonts w:eastAsia="Calibri" w:cs="Times New Roman"/>
          <w:sz w:val="22"/>
        </w:rPr>
      </w:pPr>
      <w:r w:rsidRPr="00124464">
        <w:rPr>
          <w:rFonts w:eastAsia="Calibri" w:cs="Times New Roman"/>
          <w:sz w:val="22"/>
        </w:rPr>
        <w:t xml:space="preserve">Ontario Provincial Police (2024). </w:t>
      </w:r>
      <w:r w:rsidRPr="00124464">
        <w:rPr>
          <w:rFonts w:eastAsia="Calibri" w:cs="Times New Roman"/>
          <w:i/>
          <w:iCs/>
          <w:sz w:val="22"/>
        </w:rPr>
        <w:t xml:space="preserve">2015-2024 </w:t>
      </w:r>
      <w:hyperlink r:id="rId57" w:history="1">
        <w:r w:rsidRPr="00124464">
          <w:rPr>
            <w:rStyle w:val="Hyperlink"/>
            <w:rFonts w:eastAsia="Calibri" w:cs="Times New Roman"/>
            <w:i/>
            <w:iCs/>
            <w:sz w:val="22"/>
          </w:rPr>
          <w:t>Cost by municipality</w:t>
        </w:r>
      </w:hyperlink>
      <w:r w:rsidRPr="00124464">
        <w:rPr>
          <w:rFonts w:eastAsia="Calibri" w:cs="Times New Roman"/>
          <w:i/>
          <w:iCs/>
          <w:sz w:val="22"/>
        </w:rPr>
        <w:t xml:space="preserve">. </w:t>
      </w:r>
    </w:p>
    <w:p w14:paraId="622E8E89" w14:textId="0D0B5E88" w:rsidR="005F2367" w:rsidRPr="00124464" w:rsidRDefault="005F2367" w:rsidP="00142CB0">
      <w:pPr>
        <w:spacing w:after="160" w:line="312" w:lineRule="auto"/>
        <w:rPr>
          <w:rFonts w:eastAsia="Calibri" w:cs="Times New Roman"/>
          <w:sz w:val="22"/>
        </w:rPr>
      </w:pPr>
      <w:r w:rsidRPr="00124464">
        <w:rPr>
          <w:rFonts w:eastAsia="Calibri" w:cs="Times New Roman"/>
          <w:sz w:val="22"/>
        </w:rPr>
        <w:t xml:space="preserve">Ottawa Police Services. (2025). </w:t>
      </w:r>
      <w:hyperlink r:id="rId58" w:anchor="Information" w:history="1">
        <w:r w:rsidRPr="00124464">
          <w:rPr>
            <w:rStyle w:val="Hyperlink"/>
            <w:rFonts w:eastAsia="Calibri" w:cs="Times New Roman"/>
            <w:i/>
            <w:iCs/>
            <w:sz w:val="22"/>
          </w:rPr>
          <w:t>Paid Duty and Events</w:t>
        </w:r>
      </w:hyperlink>
      <w:r w:rsidRPr="00124464">
        <w:rPr>
          <w:rFonts w:eastAsia="Calibri" w:cs="Times New Roman"/>
          <w:i/>
          <w:iCs/>
          <w:sz w:val="22"/>
        </w:rPr>
        <w:t>.</w:t>
      </w:r>
      <w:r w:rsidRPr="00124464">
        <w:rPr>
          <w:rFonts w:eastAsia="Calibri" w:cs="Times New Roman"/>
          <w:sz w:val="22"/>
        </w:rPr>
        <w:t xml:space="preserve"> </w:t>
      </w:r>
    </w:p>
    <w:p w14:paraId="688E2609" w14:textId="20FB9BCA" w:rsidR="00CD5DC0" w:rsidRPr="00124464" w:rsidRDefault="00CD5DC0" w:rsidP="00142CB0">
      <w:pPr>
        <w:spacing w:after="160" w:line="312" w:lineRule="auto"/>
        <w:rPr>
          <w:rFonts w:eastAsia="Calibri" w:cs="Times New Roman"/>
          <w:sz w:val="22"/>
        </w:rPr>
      </w:pPr>
      <w:proofErr w:type="spellStart"/>
      <w:r w:rsidRPr="00124464">
        <w:rPr>
          <w:rFonts w:eastAsia="Calibri" w:cs="Times New Roman"/>
          <w:sz w:val="22"/>
        </w:rPr>
        <w:t>Polaschek</w:t>
      </w:r>
      <w:proofErr w:type="spellEnd"/>
      <w:r w:rsidRPr="00124464">
        <w:rPr>
          <w:rFonts w:eastAsia="Calibri" w:cs="Times New Roman"/>
          <w:sz w:val="22"/>
        </w:rPr>
        <w:t xml:space="preserve">, D. L. L. (2012). An appraisal of the risk-need-responsivity (RNR) model of offender rehabilitation and its application in correctional treatment. </w:t>
      </w:r>
      <w:r w:rsidRPr="00124464">
        <w:rPr>
          <w:rFonts w:eastAsia="Calibri" w:cs="Times New Roman"/>
          <w:i/>
          <w:iCs/>
          <w:sz w:val="22"/>
        </w:rPr>
        <w:t>Legal and Criminological Psychology, 17</w:t>
      </w:r>
      <w:r w:rsidRPr="00124464">
        <w:rPr>
          <w:rFonts w:eastAsia="Calibri" w:cs="Times New Roman"/>
          <w:sz w:val="22"/>
        </w:rPr>
        <w:t>(1), 1-17. doi:10.1111/j.2044-8333.2011.02038.x</w:t>
      </w:r>
      <w:r w:rsidR="002605AA" w:rsidRPr="00124464">
        <w:rPr>
          <w:rFonts w:eastAsia="Calibri" w:cs="Times New Roman"/>
          <w:sz w:val="22"/>
        </w:rPr>
        <w:t xml:space="preserve"> </w:t>
      </w:r>
      <w:r w:rsidRPr="00124464">
        <w:rPr>
          <w:rFonts w:eastAsia="Calibri" w:cs="Times New Roman"/>
          <w:sz w:val="22"/>
        </w:rPr>
        <w:t xml:space="preserve"> </w:t>
      </w:r>
    </w:p>
    <w:p w14:paraId="0D3CD26A" w14:textId="174E3937" w:rsidR="00DA55B8" w:rsidRPr="00124464" w:rsidRDefault="00DA55B8" w:rsidP="00142CB0">
      <w:pPr>
        <w:spacing w:after="160" w:line="312" w:lineRule="auto"/>
        <w:rPr>
          <w:sz w:val="22"/>
          <w:szCs w:val="18"/>
        </w:rPr>
      </w:pPr>
      <w:r w:rsidRPr="00124464">
        <w:rPr>
          <w:sz w:val="22"/>
          <w:szCs w:val="18"/>
        </w:rPr>
        <w:t xml:space="preserve">Public Safety Canada. (2003). </w:t>
      </w:r>
      <w:hyperlink r:id="rId59" w:history="1">
        <w:r w:rsidRPr="00124464">
          <w:rPr>
            <w:rStyle w:val="Hyperlink"/>
            <w:i/>
            <w:iCs/>
            <w:sz w:val="22"/>
            <w:szCs w:val="18"/>
          </w:rPr>
          <w:t>Approaches to understanding crime prevention</w:t>
        </w:r>
      </w:hyperlink>
      <w:r w:rsidRPr="00124464">
        <w:rPr>
          <w:i/>
          <w:iCs/>
          <w:sz w:val="22"/>
          <w:szCs w:val="18"/>
        </w:rPr>
        <w:t xml:space="preserve">. </w:t>
      </w:r>
    </w:p>
    <w:p w14:paraId="0962B89A" w14:textId="5471F08F" w:rsidR="002951CF" w:rsidRPr="00124464" w:rsidRDefault="00CD5DC0" w:rsidP="00142CB0">
      <w:pPr>
        <w:spacing w:after="160" w:line="312" w:lineRule="auto"/>
        <w:rPr>
          <w:sz w:val="22"/>
          <w:szCs w:val="18"/>
        </w:rPr>
      </w:pPr>
      <w:r w:rsidRPr="00124464">
        <w:rPr>
          <w:sz w:val="22"/>
          <w:szCs w:val="18"/>
        </w:rPr>
        <w:t xml:space="preserve">Public Safety Canada. (2015). </w:t>
      </w:r>
      <w:hyperlink r:id="rId60" w:history="1">
        <w:r w:rsidRPr="00124464">
          <w:rPr>
            <w:rStyle w:val="Hyperlink"/>
            <w:i/>
            <w:iCs/>
            <w:sz w:val="22"/>
            <w:szCs w:val="18"/>
          </w:rPr>
          <w:t>Risk and protective factors</w:t>
        </w:r>
      </w:hyperlink>
      <w:r w:rsidRPr="00124464">
        <w:rPr>
          <w:sz w:val="22"/>
          <w:szCs w:val="18"/>
        </w:rPr>
        <w:t xml:space="preserve">. </w:t>
      </w:r>
    </w:p>
    <w:p w14:paraId="54597DCF" w14:textId="67E3AA62" w:rsidR="005F2367" w:rsidRPr="00124464" w:rsidRDefault="005F2367" w:rsidP="00142CB0">
      <w:pPr>
        <w:spacing w:after="160" w:line="312" w:lineRule="auto"/>
        <w:rPr>
          <w:sz w:val="22"/>
          <w:szCs w:val="18"/>
        </w:rPr>
      </w:pPr>
      <w:r w:rsidRPr="00124464">
        <w:rPr>
          <w:sz w:val="22"/>
          <w:szCs w:val="18"/>
        </w:rPr>
        <w:t xml:space="preserve">Queensway Carleton Hospital (2021). </w:t>
      </w:r>
      <w:hyperlink r:id="rId61" w:history="1">
        <w:r w:rsidRPr="00124464">
          <w:rPr>
            <w:rStyle w:val="Hyperlink"/>
            <w:i/>
            <w:iCs/>
            <w:sz w:val="22"/>
            <w:szCs w:val="18"/>
          </w:rPr>
          <w:t>Uninsured and non-resident fees</w:t>
        </w:r>
      </w:hyperlink>
      <w:r w:rsidRPr="00124464">
        <w:rPr>
          <w:sz w:val="22"/>
          <w:szCs w:val="18"/>
        </w:rPr>
        <w:t xml:space="preserve">. </w:t>
      </w:r>
    </w:p>
    <w:p w14:paraId="624E0D4F" w14:textId="2F8606C5" w:rsidR="00C95E25" w:rsidRPr="00124464" w:rsidRDefault="00C95E25" w:rsidP="00142CB0">
      <w:pPr>
        <w:spacing w:after="160" w:line="312" w:lineRule="auto"/>
        <w:rPr>
          <w:sz w:val="22"/>
          <w:szCs w:val="18"/>
        </w:rPr>
      </w:pPr>
      <w:r w:rsidRPr="00124464">
        <w:rPr>
          <w:sz w:val="22"/>
          <w:szCs w:val="18"/>
        </w:rPr>
        <w:t xml:space="preserve">Statistics Canada. (2024). </w:t>
      </w:r>
      <w:hyperlink r:id="rId62" w:history="1">
        <w:r w:rsidRPr="00124464">
          <w:rPr>
            <w:rStyle w:val="Hyperlink"/>
            <w:i/>
            <w:iCs/>
            <w:sz w:val="22"/>
            <w:szCs w:val="18"/>
          </w:rPr>
          <w:t>Table 35-10-0013-01: Operating expenditures for adult correctional services</w:t>
        </w:r>
      </w:hyperlink>
      <w:r w:rsidRPr="00124464">
        <w:rPr>
          <w:i/>
          <w:iCs/>
          <w:sz w:val="22"/>
          <w:szCs w:val="18"/>
        </w:rPr>
        <w:t xml:space="preserve">. </w:t>
      </w:r>
    </w:p>
    <w:p w14:paraId="16EA27CB" w14:textId="66E8F071" w:rsidR="00E56AEA" w:rsidRPr="00124464" w:rsidRDefault="00E56AEA" w:rsidP="00142CB0">
      <w:pPr>
        <w:spacing w:after="160" w:line="312" w:lineRule="auto"/>
        <w:rPr>
          <w:sz w:val="22"/>
          <w:szCs w:val="18"/>
        </w:rPr>
      </w:pPr>
      <w:proofErr w:type="spellStart"/>
      <w:r w:rsidRPr="00124464">
        <w:rPr>
          <w:sz w:val="22"/>
          <w:szCs w:val="18"/>
        </w:rPr>
        <w:t>Stobierki</w:t>
      </w:r>
      <w:proofErr w:type="spellEnd"/>
      <w:r w:rsidRPr="00124464">
        <w:rPr>
          <w:sz w:val="22"/>
          <w:szCs w:val="18"/>
        </w:rPr>
        <w:t>, T. (2019, September 5</w:t>
      </w:r>
      <w:r w:rsidRPr="00124464">
        <w:rPr>
          <w:sz w:val="22"/>
          <w:szCs w:val="18"/>
          <w:vertAlign w:val="superscript"/>
        </w:rPr>
        <w:t>th</w:t>
      </w:r>
      <w:r w:rsidRPr="00124464">
        <w:rPr>
          <w:sz w:val="22"/>
          <w:szCs w:val="18"/>
        </w:rPr>
        <w:t xml:space="preserve">). </w:t>
      </w:r>
      <w:hyperlink r:id="rId63" w:history="1">
        <w:r w:rsidRPr="00124464">
          <w:rPr>
            <w:rStyle w:val="Hyperlink"/>
            <w:i/>
            <w:iCs/>
            <w:sz w:val="22"/>
            <w:szCs w:val="18"/>
          </w:rPr>
          <w:t xml:space="preserve">What is a cost-benefit analysis </w:t>
        </w:r>
        <w:r w:rsidR="00EA4404" w:rsidRPr="00124464">
          <w:rPr>
            <w:rStyle w:val="Hyperlink"/>
            <w:i/>
            <w:iCs/>
            <w:sz w:val="22"/>
            <w:szCs w:val="18"/>
          </w:rPr>
          <w:t>and</w:t>
        </w:r>
        <w:r w:rsidRPr="00124464">
          <w:rPr>
            <w:rStyle w:val="Hyperlink"/>
            <w:i/>
            <w:iCs/>
            <w:sz w:val="22"/>
            <w:szCs w:val="18"/>
          </w:rPr>
          <w:t xml:space="preserve"> how to do it. </w:t>
        </w:r>
        <w:r w:rsidRPr="00124464">
          <w:rPr>
            <w:rStyle w:val="Hyperlink"/>
            <w:sz w:val="22"/>
            <w:szCs w:val="18"/>
          </w:rPr>
          <w:t>Harvard Business School Online</w:t>
        </w:r>
      </w:hyperlink>
      <w:r w:rsidRPr="00124464">
        <w:rPr>
          <w:sz w:val="22"/>
          <w:szCs w:val="18"/>
        </w:rPr>
        <w:t xml:space="preserve">. </w:t>
      </w:r>
    </w:p>
    <w:p w14:paraId="2215ED84" w14:textId="5098ACF2" w:rsidR="00F3289F" w:rsidRPr="00124464" w:rsidRDefault="00F3289F" w:rsidP="00142CB0">
      <w:pPr>
        <w:spacing w:after="160" w:line="312" w:lineRule="auto"/>
        <w:rPr>
          <w:sz w:val="22"/>
          <w:szCs w:val="18"/>
        </w:rPr>
      </w:pPr>
      <w:r w:rsidRPr="00124464">
        <w:rPr>
          <w:sz w:val="22"/>
          <w:szCs w:val="18"/>
        </w:rPr>
        <w:t xml:space="preserve">West Coast ADR Law Group (2024). </w:t>
      </w:r>
      <w:hyperlink r:id="rId64" w:history="1">
        <w:r w:rsidRPr="00124464">
          <w:rPr>
            <w:rStyle w:val="Hyperlink"/>
            <w:i/>
            <w:iCs/>
            <w:sz w:val="22"/>
            <w:szCs w:val="18"/>
          </w:rPr>
          <w:t>Comparison of costs</w:t>
        </w:r>
      </w:hyperlink>
      <w:r w:rsidRPr="00124464">
        <w:rPr>
          <w:sz w:val="22"/>
          <w:szCs w:val="18"/>
        </w:rPr>
        <w:t xml:space="preserve">. </w:t>
      </w:r>
    </w:p>
    <w:p w14:paraId="635510CB" w14:textId="7D570C91" w:rsidR="004B06C5" w:rsidRDefault="00F3289F" w:rsidP="00142CB0">
      <w:pPr>
        <w:spacing w:after="160" w:line="312" w:lineRule="auto"/>
        <w:rPr>
          <w:rFonts w:ascii="Aptos SemiBold" w:eastAsiaTheme="majorEastAsia" w:hAnsi="Aptos SemiBold" w:cstheme="majorBidi"/>
          <w:color w:val="3A5A88" w:themeColor="accent1"/>
          <w:sz w:val="40"/>
          <w:szCs w:val="26"/>
        </w:rPr>
      </w:pPr>
      <w:r w:rsidRPr="00124464">
        <w:rPr>
          <w:sz w:val="22"/>
          <w:szCs w:val="18"/>
        </w:rPr>
        <w:t xml:space="preserve">Yousefi, L. (2016). </w:t>
      </w:r>
      <w:hyperlink r:id="rId65" w:history="1">
        <w:r w:rsidRPr="00124464">
          <w:rPr>
            <w:rStyle w:val="Hyperlink"/>
            <w:i/>
            <w:iCs/>
            <w:sz w:val="22"/>
            <w:szCs w:val="18"/>
          </w:rPr>
          <w:t>How much do family law trials cost?</w:t>
        </w:r>
      </w:hyperlink>
      <w:r w:rsidRPr="00124464">
        <w:rPr>
          <w:sz w:val="22"/>
          <w:szCs w:val="18"/>
        </w:rPr>
        <w:t xml:space="preserve"> YLAW. </w:t>
      </w:r>
      <w:r w:rsidR="004B06C5">
        <w:br w:type="page"/>
      </w:r>
    </w:p>
    <w:p w14:paraId="4FAAD99A" w14:textId="7DB9FE13" w:rsidR="004B06C5" w:rsidRPr="00E56AEA" w:rsidRDefault="004B06C5" w:rsidP="004B06C5">
      <w:pPr>
        <w:pStyle w:val="Heading2"/>
      </w:pPr>
      <w:bookmarkStart w:id="28" w:name="_Toc201674486"/>
      <w:r>
        <w:t>Endnotes</w:t>
      </w:r>
      <w:bookmarkEnd w:id="28"/>
    </w:p>
    <w:sectPr w:rsidR="004B06C5" w:rsidRPr="00E56AEA" w:rsidSect="00C80AFA">
      <w:pgSz w:w="12240" w:h="15840" w:code="1"/>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40BA9" w14:textId="77777777" w:rsidR="007F4616" w:rsidRDefault="007F4616" w:rsidP="00AD7EE5">
      <w:pPr>
        <w:spacing w:after="0" w:line="240" w:lineRule="auto"/>
      </w:pPr>
      <w:r>
        <w:separator/>
      </w:r>
    </w:p>
  </w:endnote>
  <w:endnote w:type="continuationSeparator" w:id="0">
    <w:p w14:paraId="16A2A743" w14:textId="77777777" w:rsidR="007F4616" w:rsidRDefault="007F4616" w:rsidP="00AD7EE5">
      <w:pPr>
        <w:spacing w:after="0" w:line="240" w:lineRule="auto"/>
      </w:pPr>
      <w:r>
        <w:continuationSeparator/>
      </w:r>
    </w:p>
  </w:endnote>
  <w:endnote w:type="continuationNotice" w:id="1">
    <w:p w14:paraId="45FE714A" w14:textId="77777777" w:rsidR="007F4616" w:rsidRDefault="007F4616">
      <w:pPr>
        <w:spacing w:after="0" w:line="240" w:lineRule="auto"/>
      </w:pPr>
    </w:p>
  </w:endnote>
  <w:endnote w:id="2">
    <w:p w14:paraId="19F02639" w14:textId="572A9B39" w:rsidR="00837EDE" w:rsidRDefault="00837EDE" w:rsidP="00CF41A8">
      <w:pPr>
        <w:pStyle w:val="EndnoteText"/>
        <w:spacing w:after="120"/>
      </w:pPr>
      <w:r>
        <w:rPr>
          <w:rStyle w:val="EndnoteReference"/>
        </w:rPr>
        <w:endnoteRef/>
      </w:r>
      <w:r>
        <w:t xml:space="preserve"> </w:t>
      </w:r>
      <w:r w:rsidR="005F2367">
        <w:t>These estimates were also consistent with CoParenter (2022), Law for Families (2021), Lemieux Litigation (2018), West Coa</w:t>
      </w:r>
      <w:r w:rsidR="00E07696">
        <w:t>s</w:t>
      </w:r>
      <w:r w:rsidR="005F2367">
        <w:t xml:space="preserve">t ADR Law Group (2024), and Yousefi (2016).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SemiBold">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7B3E" w14:textId="77777777" w:rsidR="007314DE" w:rsidRDefault="007314DE">
    <w:pPr>
      <w:pStyle w:val="Footer"/>
    </w:pPr>
    <w:r>
      <w:rPr>
        <w:noProof/>
      </w:rPr>
      <mc:AlternateContent>
        <mc:Choice Requires="wps">
          <w:drawing>
            <wp:anchor distT="0" distB="0" distL="0" distR="0" simplePos="0" relativeHeight="251664384" behindDoc="0" locked="0" layoutInCell="1" allowOverlap="1" wp14:anchorId="6850E302" wp14:editId="0221BCF7">
              <wp:simplePos x="635" y="635"/>
              <wp:positionH relativeFrom="page">
                <wp:align>right</wp:align>
              </wp:positionH>
              <wp:positionV relativeFrom="page">
                <wp:align>bottom</wp:align>
              </wp:positionV>
              <wp:extent cx="443865" cy="443865"/>
              <wp:effectExtent l="0" t="0" r="0" b="0"/>
              <wp:wrapNone/>
              <wp:docPr id="10" name="Text Box 10"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B38298" w14:textId="77777777" w:rsidR="007314DE" w:rsidRPr="002B5790" w:rsidRDefault="007314DE" w:rsidP="002B5790">
                          <w:pPr>
                            <w:spacing w:after="0"/>
                            <w:rPr>
                              <w:rFonts w:ascii="Calibri" w:eastAsia="Calibri" w:hAnsi="Calibri" w:cs="Calibri"/>
                              <w:noProof/>
                              <w:color w:val="008000"/>
                              <w:sz w:val="20"/>
                              <w:szCs w:val="20"/>
                            </w:rPr>
                          </w:pPr>
                          <w:r w:rsidRPr="002B5790">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850E302" id="_x0000_t202" coordsize="21600,21600" o:spt="202" path="m,l,21600r21600,l21600,xe">
              <v:stroke joinstyle="miter"/>
              <v:path gradientshapeok="t" o:connecttype="rect"/>
            </v:shapetype>
            <v:shape id="Text Box 10" o:spid="_x0000_s1027" type="#_x0000_t202" alt="Unclassified | Non classifié" style="position:absolute;margin-left:-5.05pt;margin-top:0;width:34.95pt;height:34.95pt;z-index:2516643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33B38298" w14:textId="77777777" w:rsidR="007314DE" w:rsidRPr="002B5790" w:rsidRDefault="007314DE" w:rsidP="002B5790">
                    <w:pPr>
                      <w:spacing w:after="0"/>
                      <w:rPr>
                        <w:rFonts w:ascii="Calibri" w:eastAsia="Calibri" w:hAnsi="Calibri" w:cs="Calibri"/>
                        <w:noProof/>
                        <w:color w:val="008000"/>
                        <w:sz w:val="20"/>
                        <w:szCs w:val="20"/>
                      </w:rPr>
                    </w:pPr>
                    <w:r w:rsidRPr="002B5790">
                      <w:rPr>
                        <w:rFonts w:ascii="Calibri" w:eastAsia="Calibri" w:hAnsi="Calibri" w:cs="Calibri"/>
                        <w:noProof/>
                        <w:color w:val="008000"/>
                        <w:sz w:val="20"/>
                        <w:szCs w:val="20"/>
                      </w:rPr>
                      <w:t>Unclassified | Non classifié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FECA" w14:textId="3BFF83E5" w:rsidR="004B4E57" w:rsidRDefault="004B4E57" w:rsidP="004B4E57">
    <w:pPr>
      <w:pStyle w:val="Footer"/>
    </w:pPr>
    <w:r>
      <w:t xml:space="preserve">Page </w:t>
    </w:r>
    <w:sdt>
      <w:sdtPr>
        <w:id w:val="4411260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4</w:t>
        </w:r>
        <w:r>
          <w:rPr>
            <w:noProof/>
          </w:rPr>
          <w:fldChar w:fldCharType="end"/>
        </w:r>
        <w:r>
          <w:rPr>
            <w:noProof/>
          </w:rPr>
          <w:t xml:space="preserve">  |  </w:t>
        </w:r>
      </w:sdtContent>
    </w:sdt>
  </w:p>
  <w:p w14:paraId="4A974F16" w14:textId="1EDFCBA3" w:rsidR="007314DE" w:rsidRDefault="007314DE" w:rsidP="008C3A80">
    <w:pPr>
      <w:pStyle w:val="Footer"/>
      <w:tabs>
        <w:tab w:val="clear" w:pos="4680"/>
        <w:tab w:val="clear" w:pos="9360"/>
        <w:tab w:val="left" w:pos="537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FC39A" w14:textId="77777777" w:rsidR="009C7F61" w:rsidRDefault="009C7F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4A11" w14:textId="107AD020" w:rsidR="004B4E57" w:rsidRDefault="004B4E57" w:rsidP="004B4E57">
    <w:pPr>
      <w:pStyle w:val="Footer"/>
    </w:pPr>
    <w:r>
      <w:t xml:space="preserve">Page </w:t>
    </w:r>
    <w:sdt>
      <w:sdtPr>
        <w:id w:val="-9659651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4</w:t>
        </w:r>
        <w:r>
          <w:rPr>
            <w:noProof/>
          </w:rPr>
          <w:fldChar w:fldCharType="end"/>
        </w:r>
        <w:r>
          <w:rPr>
            <w:noProof/>
          </w:rPr>
          <w:t xml:space="preserve">  |  </w:t>
        </w:r>
        <w:r>
          <w:rPr>
            <w:noProof/>
          </w:rPr>
          <w:fldChar w:fldCharType="begin"/>
        </w:r>
        <w:r>
          <w:rPr>
            <w:noProof/>
          </w:rPr>
          <w:instrText xml:space="preserve"> STYLEREF  "Heading 2" \l  \* MERGEFORMAT </w:instrText>
        </w:r>
        <w:r>
          <w:rPr>
            <w:noProof/>
          </w:rPr>
          <w:fldChar w:fldCharType="end"/>
        </w:r>
      </w:sdtContent>
    </w:sdt>
  </w:p>
  <w:p w14:paraId="08AB52C2" w14:textId="77777777" w:rsidR="004B4E57" w:rsidRDefault="004B4E57" w:rsidP="008C3A80">
    <w:pPr>
      <w:pStyle w:val="Footer"/>
      <w:tabs>
        <w:tab w:val="clear" w:pos="4680"/>
        <w:tab w:val="clear" w:pos="9360"/>
        <w:tab w:val="left" w:pos="5370"/>
      </w:tabs>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B71B" w14:textId="58B88249" w:rsidR="009C7F61" w:rsidRDefault="009C7F61" w:rsidP="009C7F61">
    <w:pPr>
      <w:pStyle w:val="Footer"/>
    </w:pPr>
    <w:r>
      <w:t xml:space="preserve">Page </w:t>
    </w:r>
    <w:sdt>
      <w:sdtPr>
        <w:id w:val="-119128882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3</w:t>
        </w:r>
        <w:r>
          <w:rPr>
            <w:noProof/>
          </w:rPr>
          <w:fldChar w:fldCharType="end"/>
        </w:r>
        <w:r>
          <w:rPr>
            <w:noProof/>
          </w:rPr>
          <w:t xml:space="preserve">  |  </w:t>
        </w:r>
        <w:r>
          <w:rPr>
            <w:noProof/>
          </w:rPr>
          <w:fldChar w:fldCharType="begin"/>
        </w:r>
        <w:r>
          <w:rPr>
            <w:noProof/>
          </w:rPr>
          <w:instrText xml:space="preserve"> STYLEREF  "Heading 2" \l  \* MERGEFORMAT </w:instrText>
        </w:r>
        <w:r>
          <w:rPr>
            <w:noProof/>
          </w:rPr>
          <w:fldChar w:fldCharType="separate"/>
        </w:r>
        <w:r w:rsidR="00161065">
          <w:rPr>
            <w:noProof/>
          </w:rPr>
          <w:t>Table of contents</w:t>
        </w:r>
        <w:r>
          <w:rPr>
            <w:noProof/>
          </w:rPr>
          <w:fldChar w:fldCharType="end"/>
        </w:r>
      </w:sdtContent>
    </w:sdt>
  </w:p>
  <w:p w14:paraId="7DA3B4C7" w14:textId="77777777" w:rsidR="009C7F61" w:rsidRDefault="009C7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B4EDA" w14:textId="77777777" w:rsidR="007F4616" w:rsidRDefault="007F4616" w:rsidP="00AD7EE5">
      <w:pPr>
        <w:spacing w:after="0" w:line="240" w:lineRule="auto"/>
      </w:pPr>
      <w:r>
        <w:separator/>
      </w:r>
    </w:p>
  </w:footnote>
  <w:footnote w:type="continuationSeparator" w:id="0">
    <w:p w14:paraId="344A02AA" w14:textId="77777777" w:rsidR="007F4616" w:rsidRDefault="007F4616" w:rsidP="00AD7EE5">
      <w:pPr>
        <w:spacing w:after="0" w:line="240" w:lineRule="auto"/>
      </w:pPr>
      <w:r>
        <w:continuationSeparator/>
      </w:r>
    </w:p>
  </w:footnote>
  <w:footnote w:type="continuationNotice" w:id="1">
    <w:p w14:paraId="59140B73" w14:textId="77777777" w:rsidR="007F4616" w:rsidRDefault="007F4616">
      <w:pPr>
        <w:spacing w:after="0" w:line="240" w:lineRule="auto"/>
      </w:pPr>
    </w:p>
  </w:footnote>
  <w:footnote w:id="2">
    <w:p w14:paraId="5B69C769" w14:textId="08E47784" w:rsidR="0099674C" w:rsidRPr="00C07F82" w:rsidRDefault="0099674C" w:rsidP="0099674C">
      <w:pPr>
        <w:pStyle w:val="FootnoteText"/>
      </w:pPr>
      <w:r w:rsidRPr="000C1882">
        <w:rPr>
          <w:rStyle w:val="FootnoteReference"/>
          <w:sz w:val="22"/>
          <w:szCs w:val="16"/>
        </w:rPr>
        <w:footnoteRef/>
      </w:r>
      <w:r w:rsidRPr="000C1882">
        <w:rPr>
          <w:sz w:val="22"/>
          <w:szCs w:val="16"/>
        </w:rPr>
        <w:t xml:space="preserve"> </w:t>
      </w:r>
      <w:r w:rsidRPr="000C1882">
        <w:rPr>
          <w:b/>
          <w:bCs/>
          <w:sz w:val="22"/>
          <w:szCs w:val="16"/>
        </w:rPr>
        <w:t>Justice involvement</w:t>
      </w:r>
      <w:r w:rsidRPr="000C1882">
        <w:rPr>
          <w:sz w:val="22"/>
          <w:szCs w:val="16"/>
        </w:rPr>
        <w:t xml:space="preserve"> refers to a person who has had contact with the criminal justice system, whether it is through police, courts, or the corrections system (Andrews </w:t>
      </w:r>
      <w:r w:rsidR="0095695B">
        <w:rPr>
          <w:sz w:val="22"/>
          <w:szCs w:val="16"/>
        </w:rPr>
        <w:t>&amp;</w:t>
      </w:r>
      <w:r w:rsidRPr="000C1882">
        <w:rPr>
          <w:sz w:val="22"/>
          <w:szCs w:val="16"/>
        </w:rPr>
        <w:t xml:space="preserve"> Bonta, 2024). A justice-involved person may have been arrested, </w:t>
      </w:r>
      <w:r w:rsidR="00F0139B">
        <w:rPr>
          <w:sz w:val="22"/>
          <w:szCs w:val="16"/>
        </w:rPr>
        <w:t xml:space="preserve">charged, convicted, </w:t>
      </w:r>
      <w:r w:rsidRPr="000C1882">
        <w:rPr>
          <w:sz w:val="22"/>
          <w:szCs w:val="16"/>
        </w:rPr>
        <w:t>on parole, on probation, or incarcerated.</w:t>
      </w:r>
    </w:p>
  </w:footnote>
  <w:footnote w:id="3">
    <w:p w14:paraId="3A5BDCAE" w14:textId="3FC9BCDF" w:rsidR="006F7285" w:rsidRPr="000C1882" w:rsidRDefault="006F7285" w:rsidP="006F7285">
      <w:pPr>
        <w:pStyle w:val="FootnoteText"/>
        <w:spacing w:after="120"/>
        <w:rPr>
          <w:sz w:val="22"/>
          <w:szCs w:val="16"/>
        </w:rPr>
      </w:pPr>
      <w:r w:rsidRPr="000C1882">
        <w:rPr>
          <w:rStyle w:val="FootnoteReference"/>
          <w:sz w:val="22"/>
          <w:szCs w:val="16"/>
        </w:rPr>
        <w:footnoteRef/>
      </w:r>
      <w:r w:rsidRPr="000C1882">
        <w:rPr>
          <w:sz w:val="22"/>
          <w:szCs w:val="16"/>
        </w:rPr>
        <w:t xml:space="preserve"> </w:t>
      </w:r>
      <w:r w:rsidRPr="000C1882">
        <w:rPr>
          <w:b/>
          <w:bCs/>
          <w:sz w:val="22"/>
          <w:szCs w:val="16"/>
        </w:rPr>
        <w:t>Criminal behaviour</w:t>
      </w:r>
      <w:r w:rsidRPr="000C1882">
        <w:rPr>
          <w:sz w:val="22"/>
          <w:szCs w:val="16"/>
        </w:rPr>
        <w:t xml:space="preserve"> refers to a person's participation in criminal activity, including engaging in delinquent or unlawful behaviour and committing a crime (Andrews </w:t>
      </w:r>
      <w:r w:rsidR="0095695B">
        <w:rPr>
          <w:sz w:val="22"/>
          <w:szCs w:val="16"/>
        </w:rPr>
        <w:t>&amp;</w:t>
      </w:r>
      <w:r w:rsidRPr="000C1882">
        <w:rPr>
          <w:sz w:val="22"/>
          <w:szCs w:val="16"/>
        </w:rPr>
        <w:t xml:space="preserve"> Bonta, 2024). </w:t>
      </w:r>
    </w:p>
  </w:footnote>
  <w:footnote w:id="4">
    <w:p w14:paraId="34829035" w14:textId="249D91D7" w:rsidR="007314DE" w:rsidRPr="0090119F" w:rsidRDefault="007314DE" w:rsidP="00CD5DC0">
      <w:pPr>
        <w:pStyle w:val="FootnoteText"/>
      </w:pPr>
      <w:r w:rsidRPr="006C56F5">
        <w:rPr>
          <w:rStyle w:val="FootnoteReference"/>
          <w:sz w:val="22"/>
          <w:szCs w:val="16"/>
        </w:rPr>
        <w:footnoteRef/>
      </w:r>
      <w:r w:rsidRPr="006C56F5">
        <w:rPr>
          <w:sz w:val="22"/>
          <w:szCs w:val="16"/>
        </w:rPr>
        <w:t xml:space="preserve"> The </w:t>
      </w:r>
      <w:r w:rsidRPr="006C56F5">
        <w:rPr>
          <w:i/>
          <w:iCs/>
          <w:sz w:val="22"/>
          <w:szCs w:val="16"/>
        </w:rPr>
        <w:t>Criminal Code</w:t>
      </w:r>
      <w:r w:rsidRPr="006C56F5">
        <w:rPr>
          <w:sz w:val="22"/>
          <w:szCs w:val="16"/>
        </w:rPr>
        <w:t xml:space="preserve"> Review Boards are expert tribunals that make and review dispositions about any accused found not criminally responsible either because of a mental disorder or because they are unfit to stand trial. Each province and territory must establish a review board under Section 672.38 of the </w:t>
      </w:r>
      <w:r w:rsidRPr="006C56F5">
        <w:rPr>
          <w:i/>
          <w:iCs/>
          <w:sz w:val="22"/>
          <w:szCs w:val="16"/>
        </w:rPr>
        <w:t>Criminal Code</w:t>
      </w:r>
      <w:r w:rsidRPr="006C56F5">
        <w:rPr>
          <w:sz w:val="22"/>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F0475" w14:textId="77777777" w:rsidR="007314DE" w:rsidRDefault="007314DE">
    <w:pPr>
      <w:pStyle w:val="Header"/>
    </w:pPr>
    <w:r>
      <w:rPr>
        <w:noProof/>
      </w:rPr>
      <mc:AlternateContent>
        <mc:Choice Requires="wps">
          <w:drawing>
            <wp:anchor distT="0" distB="0" distL="0" distR="0" simplePos="0" relativeHeight="251661312" behindDoc="0" locked="0" layoutInCell="1" allowOverlap="1" wp14:anchorId="38D73D2E" wp14:editId="3452D20C">
              <wp:simplePos x="635" y="635"/>
              <wp:positionH relativeFrom="page">
                <wp:align>right</wp:align>
              </wp:positionH>
              <wp:positionV relativeFrom="page">
                <wp:align>top</wp:align>
              </wp:positionV>
              <wp:extent cx="443865" cy="443865"/>
              <wp:effectExtent l="0" t="0" r="0" b="11430"/>
              <wp:wrapNone/>
              <wp:docPr id="6" name="Text Box 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5C265D" w14:textId="77777777" w:rsidR="007314DE" w:rsidRPr="002B5790" w:rsidRDefault="007314DE" w:rsidP="002B5790">
                          <w:pPr>
                            <w:spacing w:after="0"/>
                            <w:rPr>
                              <w:rFonts w:ascii="Calibri" w:eastAsia="Calibri" w:hAnsi="Calibri" w:cs="Calibri"/>
                              <w:noProof/>
                              <w:color w:val="008000"/>
                              <w:sz w:val="20"/>
                              <w:szCs w:val="20"/>
                            </w:rPr>
                          </w:pPr>
                          <w:r w:rsidRPr="002B5790">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8D73D2E" id="_x0000_t202" coordsize="21600,21600" o:spt="202" path="m,l,21600r21600,l21600,xe">
              <v:stroke joinstyle="miter"/>
              <v:path gradientshapeok="t" o:connecttype="rect"/>
            </v:shapetype>
            <v:shape id="Text Box 6" o:spid="_x0000_s1026" type="#_x0000_t202" alt="Unclassified | Non classifié" style="position:absolute;margin-left:-5.05pt;margin-top:0;width:34.95pt;height:34.9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355C265D" w14:textId="77777777" w:rsidR="007314DE" w:rsidRPr="002B5790" w:rsidRDefault="007314DE" w:rsidP="002B5790">
                    <w:pPr>
                      <w:spacing w:after="0"/>
                      <w:rPr>
                        <w:rFonts w:ascii="Calibri" w:eastAsia="Calibri" w:hAnsi="Calibri" w:cs="Calibri"/>
                        <w:noProof/>
                        <w:color w:val="008000"/>
                        <w:sz w:val="20"/>
                        <w:szCs w:val="20"/>
                      </w:rPr>
                    </w:pPr>
                    <w:r w:rsidRPr="002B5790">
                      <w:rPr>
                        <w:rFonts w:ascii="Calibri" w:eastAsia="Calibri" w:hAnsi="Calibri" w:cs="Calibri"/>
                        <w:noProof/>
                        <w:color w:val="008000"/>
                        <w:sz w:val="20"/>
                        <w:szCs w:val="2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A1AAD" w14:textId="77777777" w:rsidR="009C7F61" w:rsidRDefault="009C7F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DBF7" w14:textId="1636EF9E" w:rsidR="007314DE" w:rsidRDefault="00394E81" w:rsidP="00C80AFA">
    <w:pPr>
      <w:pStyle w:val="Header"/>
      <w:tabs>
        <w:tab w:val="clear" w:pos="4680"/>
        <w:tab w:val="clear" w:pos="9360"/>
        <w:tab w:val="left" w:pos="7523"/>
      </w:tabs>
    </w:pPr>
    <w:r>
      <w:rPr>
        <w:noProof/>
      </w:rPr>
      <w:drawing>
        <wp:anchor distT="0" distB="0" distL="114300" distR="114300" simplePos="0" relativeHeight="251666432" behindDoc="1" locked="0" layoutInCell="1" allowOverlap="1" wp14:anchorId="5196D7CA" wp14:editId="1722B900">
          <wp:simplePos x="0" y="0"/>
          <wp:positionH relativeFrom="margin">
            <wp:posOffset>-914400</wp:posOffset>
          </wp:positionH>
          <wp:positionV relativeFrom="paragraph">
            <wp:posOffset>-452770</wp:posOffset>
          </wp:positionV>
          <wp:extent cx="7784864" cy="10008264"/>
          <wp:effectExtent l="0" t="0" r="6985" b="0"/>
          <wp:wrapNone/>
          <wp:docPr id="1613176277" name="Picture 1" descr="Logos of Public Safety Canada and the Government of Canada facing each other. Below them, a wide grey bar and a narrow golden bar stretch across the top of the page. Nested within the bars is a red maple leaf and the slogan “Building a safe and resilient Canada.” Below, a stylized illustration shows a person sitting on a computer monitor displaying charts. To the left, a large calculator reads “1,600,000.” To the right, documents and a pen suggest data analysis or repor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943487" name="Picture 1" descr="Logos of Public Safety Canada and the Government of Canada facing each other. Below them, a wide grey bar and a narrow golden bar stretch across the top of the page. Nested within the bars is a red maple leaf and the slogan “Building a safe and resilient Canada.” Below, a stylized illustration shows a person sitting on a computer monitor displaying charts. To the left, a large calculator reads “1,600,000.” To the right, documents and a pen suggest data analysis or reporti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84864" cy="1000826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B88A5" w14:textId="7CC88429" w:rsidR="009C7F61" w:rsidRDefault="009C7F61" w:rsidP="00C80AFA">
    <w:pPr>
      <w:pStyle w:val="Header"/>
      <w:tabs>
        <w:tab w:val="clear" w:pos="4680"/>
        <w:tab w:val="clear" w:pos="9360"/>
        <w:tab w:val="left" w:pos="7523"/>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62F8" w14:textId="49851E08" w:rsidR="00C168E5" w:rsidRDefault="00C168E5" w:rsidP="00C80AFA">
    <w:pPr>
      <w:pStyle w:val="Header"/>
      <w:tabs>
        <w:tab w:val="clear" w:pos="4680"/>
        <w:tab w:val="clear" w:pos="9360"/>
        <w:tab w:val="left" w:pos="752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D02F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5606F"/>
    <w:multiLevelType w:val="hybridMultilevel"/>
    <w:tmpl w:val="0366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322A7"/>
    <w:multiLevelType w:val="hybridMultilevel"/>
    <w:tmpl w:val="A90819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83218"/>
    <w:multiLevelType w:val="hybridMultilevel"/>
    <w:tmpl w:val="ED54341E"/>
    <w:lvl w:ilvl="0" w:tplc="D480E162">
      <w:start w:val="1"/>
      <w:numFmt w:val="bullet"/>
      <w:pStyle w:val="ExpandHideHeader"/>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F73EC"/>
    <w:multiLevelType w:val="hybridMultilevel"/>
    <w:tmpl w:val="34F607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03459"/>
    <w:multiLevelType w:val="hybridMultilevel"/>
    <w:tmpl w:val="F2707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15058"/>
    <w:multiLevelType w:val="hybridMultilevel"/>
    <w:tmpl w:val="1460ED6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B9A0071"/>
    <w:multiLevelType w:val="hybridMultilevel"/>
    <w:tmpl w:val="D6503A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90492"/>
    <w:multiLevelType w:val="hybridMultilevel"/>
    <w:tmpl w:val="7AD601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255572"/>
    <w:multiLevelType w:val="hybridMultilevel"/>
    <w:tmpl w:val="8548BFF0"/>
    <w:lvl w:ilvl="0" w:tplc="EC7AA302">
      <w:start w:val="1"/>
      <w:numFmt w:val="decimal"/>
      <w:pStyle w:val="ListParagraph"/>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3CE798E"/>
    <w:multiLevelType w:val="hybridMultilevel"/>
    <w:tmpl w:val="C2223A9C"/>
    <w:lvl w:ilvl="0" w:tplc="350C59F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7A6637"/>
    <w:multiLevelType w:val="hybridMultilevel"/>
    <w:tmpl w:val="1834EA60"/>
    <w:lvl w:ilvl="0" w:tplc="EC02BD4C">
      <w:start w:val="1"/>
      <w:numFmt w:val="bullet"/>
      <w:lvlText w:val="•"/>
      <w:lvlJc w:val="left"/>
      <w:pPr>
        <w:tabs>
          <w:tab w:val="num" w:pos="720"/>
        </w:tabs>
        <w:ind w:left="720" w:hanging="360"/>
      </w:pPr>
      <w:rPr>
        <w:rFonts w:ascii="Aptos" w:hAnsi="Aptos" w:hint="default"/>
      </w:rPr>
    </w:lvl>
    <w:lvl w:ilvl="1" w:tplc="7BD66376" w:tentative="1">
      <w:start w:val="1"/>
      <w:numFmt w:val="bullet"/>
      <w:lvlText w:val="•"/>
      <w:lvlJc w:val="left"/>
      <w:pPr>
        <w:tabs>
          <w:tab w:val="num" w:pos="1440"/>
        </w:tabs>
        <w:ind w:left="1440" w:hanging="360"/>
      </w:pPr>
      <w:rPr>
        <w:rFonts w:ascii="Aptos" w:hAnsi="Aptos" w:hint="default"/>
      </w:rPr>
    </w:lvl>
    <w:lvl w:ilvl="2" w:tplc="1108BEC2" w:tentative="1">
      <w:start w:val="1"/>
      <w:numFmt w:val="bullet"/>
      <w:lvlText w:val="•"/>
      <w:lvlJc w:val="left"/>
      <w:pPr>
        <w:tabs>
          <w:tab w:val="num" w:pos="2160"/>
        </w:tabs>
        <w:ind w:left="2160" w:hanging="360"/>
      </w:pPr>
      <w:rPr>
        <w:rFonts w:ascii="Aptos" w:hAnsi="Aptos" w:hint="default"/>
      </w:rPr>
    </w:lvl>
    <w:lvl w:ilvl="3" w:tplc="C090079E" w:tentative="1">
      <w:start w:val="1"/>
      <w:numFmt w:val="bullet"/>
      <w:lvlText w:val="•"/>
      <w:lvlJc w:val="left"/>
      <w:pPr>
        <w:tabs>
          <w:tab w:val="num" w:pos="2880"/>
        </w:tabs>
        <w:ind w:left="2880" w:hanging="360"/>
      </w:pPr>
      <w:rPr>
        <w:rFonts w:ascii="Aptos" w:hAnsi="Aptos" w:hint="default"/>
      </w:rPr>
    </w:lvl>
    <w:lvl w:ilvl="4" w:tplc="BD1A1E34" w:tentative="1">
      <w:start w:val="1"/>
      <w:numFmt w:val="bullet"/>
      <w:lvlText w:val="•"/>
      <w:lvlJc w:val="left"/>
      <w:pPr>
        <w:tabs>
          <w:tab w:val="num" w:pos="3600"/>
        </w:tabs>
        <w:ind w:left="3600" w:hanging="360"/>
      </w:pPr>
      <w:rPr>
        <w:rFonts w:ascii="Aptos" w:hAnsi="Aptos" w:hint="default"/>
      </w:rPr>
    </w:lvl>
    <w:lvl w:ilvl="5" w:tplc="1590B1D4" w:tentative="1">
      <w:start w:val="1"/>
      <w:numFmt w:val="bullet"/>
      <w:lvlText w:val="•"/>
      <w:lvlJc w:val="left"/>
      <w:pPr>
        <w:tabs>
          <w:tab w:val="num" w:pos="4320"/>
        </w:tabs>
        <w:ind w:left="4320" w:hanging="360"/>
      </w:pPr>
      <w:rPr>
        <w:rFonts w:ascii="Aptos" w:hAnsi="Aptos" w:hint="default"/>
      </w:rPr>
    </w:lvl>
    <w:lvl w:ilvl="6" w:tplc="B1442516" w:tentative="1">
      <w:start w:val="1"/>
      <w:numFmt w:val="bullet"/>
      <w:lvlText w:val="•"/>
      <w:lvlJc w:val="left"/>
      <w:pPr>
        <w:tabs>
          <w:tab w:val="num" w:pos="5040"/>
        </w:tabs>
        <w:ind w:left="5040" w:hanging="360"/>
      </w:pPr>
      <w:rPr>
        <w:rFonts w:ascii="Aptos" w:hAnsi="Aptos" w:hint="default"/>
      </w:rPr>
    </w:lvl>
    <w:lvl w:ilvl="7" w:tplc="2476417A" w:tentative="1">
      <w:start w:val="1"/>
      <w:numFmt w:val="bullet"/>
      <w:lvlText w:val="•"/>
      <w:lvlJc w:val="left"/>
      <w:pPr>
        <w:tabs>
          <w:tab w:val="num" w:pos="5760"/>
        </w:tabs>
        <w:ind w:left="5760" w:hanging="360"/>
      </w:pPr>
      <w:rPr>
        <w:rFonts w:ascii="Aptos" w:hAnsi="Aptos" w:hint="default"/>
      </w:rPr>
    </w:lvl>
    <w:lvl w:ilvl="8" w:tplc="61CA13F4" w:tentative="1">
      <w:start w:val="1"/>
      <w:numFmt w:val="bullet"/>
      <w:lvlText w:val="•"/>
      <w:lvlJc w:val="left"/>
      <w:pPr>
        <w:tabs>
          <w:tab w:val="num" w:pos="6480"/>
        </w:tabs>
        <w:ind w:left="6480" w:hanging="360"/>
      </w:pPr>
      <w:rPr>
        <w:rFonts w:ascii="Aptos" w:hAnsi="Aptos" w:hint="default"/>
      </w:rPr>
    </w:lvl>
  </w:abstractNum>
  <w:abstractNum w:abstractNumId="12" w15:restartNumberingAfterBreak="0">
    <w:nsid w:val="56717202"/>
    <w:multiLevelType w:val="hybridMultilevel"/>
    <w:tmpl w:val="B03CA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745BE5"/>
    <w:multiLevelType w:val="hybridMultilevel"/>
    <w:tmpl w:val="0B90D6A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7ED1AF3"/>
    <w:multiLevelType w:val="hybridMultilevel"/>
    <w:tmpl w:val="1FC2D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3045763">
    <w:abstractNumId w:val="3"/>
  </w:num>
  <w:num w:numId="2" w16cid:durableId="620693363">
    <w:abstractNumId w:val="9"/>
  </w:num>
  <w:num w:numId="3" w16cid:durableId="1782676283">
    <w:abstractNumId w:val="0"/>
  </w:num>
  <w:num w:numId="4" w16cid:durableId="1429545091">
    <w:abstractNumId w:val="4"/>
  </w:num>
  <w:num w:numId="5" w16cid:durableId="1416630412">
    <w:abstractNumId w:val="1"/>
  </w:num>
  <w:num w:numId="6" w16cid:durableId="394741900">
    <w:abstractNumId w:val="5"/>
  </w:num>
  <w:num w:numId="7" w16cid:durableId="31999188">
    <w:abstractNumId w:val="6"/>
  </w:num>
  <w:num w:numId="8" w16cid:durableId="1449470524">
    <w:abstractNumId w:val="13"/>
  </w:num>
  <w:num w:numId="9" w16cid:durableId="1899972165">
    <w:abstractNumId w:val="7"/>
  </w:num>
  <w:num w:numId="10" w16cid:durableId="1531215453">
    <w:abstractNumId w:val="14"/>
  </w:num>
  <w:num w:numId="11" w16cid:durableId="272590746">
    <w:abstractNumId w:val="12"/>
  </w:num>
  <w:num w:numId="12" w16cid:durableId="731124072">
    <w:abstractNumId w:val="2"/>
  </w:num>
  <w:num w:numId="13" w16cid:durableId="1547912545">
    <w:abstractNumId w:val="8"/>
  </w:num>
  <w:num w:numId="14" w16cid:durableId="1949965999">
    <w:abstractNumId w:val="11"/>
  </w:num>
  <w:num w:numId="15" w16cid:durableId="397023834">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2" w:cryptSpinCount="100000" w:hash="VuKoa5U7fpHrLOGFj/3feqfss8s6PKEpLLZqFGJqUKM=" w:salt="9tUv7IKcIxwfQvlrAyJKC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92"/>
    <w:rsid w:val="00003251"/>
    <w:rsid w:val="00011586"/>
    <w:rsid w:val="00011EEB"/>
    <w:rsid w:val="000128EC"/>
    <w:rsid w:val="00012C9F"/>
    <w:rsid w:val="00014054"/>
    <w:rsid w:val="000146CC"/>
    <w:rsid w:val="00014C79"/>
    <w:rsid w:val="00020D27"/>
    <w:rsid w:val="00024C69"/>
    <w:rsid w:val="00026279"/>
    <w:rsid w:val="00034F8F"/>
    <w:rsid w:val="00035CB3"/>
    <w:rsid w:val="00035E5D"/>
    <w:rsid w:val="00036A6B"/>
    <w:rsid w:val="00036FF7"/>
    <w:rsid w:val="000378E2"/>
    <w:rsid w:val="000410FE"/>
    <w:rsid w:val="0004328C"/>
    <w:rsid w:val="000454B0"/>
    <w:rsid w:val="00055E9E"/>
    <w:rsid w:val="000576EF"/>
    <w:rsid w:val="000634E6"/>
    <w:rsid w:val="000638EC"/>
    <w:rsid w:val="00067D59"/>
    <w:rsid w:val="00070C43"/>
    <w:rsid w:val="0007206C"/>
    <w:rsid w:val="00076506"/>
    <w:rsid w:val="00077230"/>
    <w:rsid w:val="0008105B"/>
    <w:rsid w:val="000825A8"/>
    <w:rsid w:val="00082822"/>
    <w:rsid w:val="0008385F"/>
    <w:rsid w:val="00085A5D"/>
    <w:rsid w:val="000861DB"/>
    <w:rsid w:val="00093B25"/>
    <w:rsid w:val="00093EBD"/>
    <w:rsid w:val="00097704"/>
    <w:rsid w:val="000A002D"/>
    <w:rsid w:val="000A4D7D"/>
    <w:rsid w:val="000A6C9A"/>
    <w:rsid w:val="000C03CD"/>
    <w:rsid w:val="000C0F87"/>
    <w:rsid w:val="000C141F"/>
    <w:rsid w:val="000C6B4D"/>
    <w:rsid w:val="000C6F9D"/>
    <w:rsid w:val="000D1312"/>
    <w:rsid w:val="000D3C8C"/>
    <w:rsid w:val="000D51BB"/>
    <w:rsid w:val="000D6BCD"/>
    <w:rsid w:val="000E1EEF"/>
    <w:rsid w:val="000E5405"/>
    <w:rsid w:val="000F10D2"/>
    <w:rsid w:val="000F4640"/>
    <w:rsid w:val="00100744"/>
    <w:rsid w:val="00101F6E"/>
    <w:rsid w:val="00102B40"/>
    <w:rsid w:val="00102F0F"/>
    <w:rsid w:val="001030DF"/>
    <w:rsid w:val="00106736"/>
    <w:rsid w:val="0011347E"/>
    <w:rsid w:val="00115FC8"/>
    <w:rsid w:val="001161C5"/>
    <w:rsid w:val="001221CE"/>
    <w:rsid w:val="00122AEB"/>
    <w:rsid w:val="00124464"/>
    <w:rsid w:val="00131105"/>
    <w:rsid w:val="00135D40"/>
    <w:rsid w:val="00137D02"/>
    <w:rsid w:val="001402DB"/>
    <w:rsid w:val="0014125F"/>
    <w:rsid w:val="00142CB0"/>
    <w:rsid w:val="0015729C"/>
    <w:rsid w:val="00160493"/>
    <w:rsid w:val="00161065"/>
    <w:rsid w:val="001647E9"/>
    <w:rsid w:val="00164A85"/>
    <w:rsid w:val="00164AD2"/>
    <w:rsid w:val="00165AA9"/>
    <w:rsid w:val="00170697"/>
    <w:rsid w:val="00172E77"/>
    <w:rsid w:val="00175B6B"/>
    <w:rsid w:val="00181401"/>
    <w:rsid w:val="00182DDD"/>
    <w:rsid w:val="00184092"/>
    <w:rsid w:val="001915B2"/>
    <w:rsid w:val="00196568"/>
    <w:rsid w:val="001970BD"/>
    <w:rsid w:val="00197EB3"/>
    <w:rsid w:val="001A243E"/>
    <w:rsid w:val="001A38C5"/>
    <w:rsid w:val="001A65B7"/>
    <w:rsid w:val="001B00C6"/>
    <w:rsid w:val="001B0DDB"/>
    <w:rsid w:val="001B1468"/>
    <w:rsid w:val="001B1751"/>
    <w:rsid w:val="001B2F02"/>
    <w:rsid w:val="001B3623"/>
    <w:rsid w:val="001B4B86"/>
    <w:rsid w:val="001B67A3"/>
    <w:rsid w:val="001C57B4"/>
    <w:rsid w:val="001E1A13"/>
    <w:rsid w:val="001E3877"/>
    <w:rsid w:val="001E3F1E"/>
    <w:rsid w:val="001E4C4D"/>
    <w:rsid w:val="001E5FB6"/>
    <w:rsid w:val="001E6C1F"/>
    <w:rsid w:val="001F09C8"/>
    <w:rsid w:val="001F1147"/>
    <w:rsid w:val="001F48E4"/>
    <w:rsid w:val="001F4F40"/>
    <w:rsid w:val="001F6388"/>
    <w:rsid w:val="001F7C1B"/>
    <w:rsid w:val="001F7F57"/>
    <w:rsid w:val="0020242D"/>
    <w:rsid w:val="002026B3"/>
    <w:rsid w:val="00202EE2"/>
    <w:rsid w:val="002032B0"/>
    <w:rsid w:val="002061B8"/>
    <w:rsid w:val="00212064"/>
    <w:rsid w:val="0021416F"/>
    <w:rsid w:val="00216C51"/>
    <w:rsid w:val="002176A6"/>
    <w:rsid w:val="0022183B"/>
    <w:rsid w:val="00222B64"/>
    <w:rsid w:val="002231A9"/>
    <w:rsid w:val="002244BA"/>
    <w:rsid w:val="00231121"/>
    <w:rsid w:val="002317E7"/>
    <w:rsid w:val="00234758"/>
    <w:rsid w:val="00236F7A"/>
    <w:rsid w:val="00240982"/>
    <w:rsid w:val="00241184"/>
    <w:rsid w:val="002433A2"/>
    <w:rsid w:val="002452B1"/>
    <w:rsid w:val="00245415"/>
    <w:rsid w:val="002460A9"/>
    <w:rsid w:val="00252D90"/>
    <w:rsid w:val="002605AA"/>
    <w:rsid w:val="002616DC"/>
    <w:rsid w:val="00261722"/>
    <w:rsid w:val="00261FB5"/>
    <w:rsid w:val="00262EFF"/>
    <w:rsid w:val="002632DB"/>
    <w:rsid w:val="00264379"/>
    <w:rsid w:val="00264469"/>
    <w:rsid w:val="0026548C"/>
    <w:rsid w:val="00267B68"/>
    <w:rsid w:val="00272482"/>
    <w:rsid w:val="0027706A"/>
    <w:rsid w:val="002771CF"/>
    <w:rsid w:val="00283990"/>
    <w:rsid w:val="002902DC"/>
    <w:rsid w:val="00290A3E"/>
    <w:rsid w:val="00291052"/>
    <w:rsid w:val="002918FB"/>
    <w:rsid w:val="0029289D"/>
    <w:rsid w:val="002951CF"/>
    <w:rsid w:val="00297246"/>
    <w:rsid w:val="002A2A61"/>
    <w:rsid w:val="002A4781"/>
    <w:rsid w:val="002A6475"/>
    <w:rsid w:val="002B0E83"/>
    <w:rsid w:val="002B0F50"/>
    <w:rsid w:val="002B33A8"/>
    <w:rsid w:val="002B5790"/>
    <w:rsid w:val="002B6D2A"/>
    <w:rsid w:val="002C0742"/>
    <w:rsid w:val="002C1E42"/>
    <w:rsid w:val="002C377F"/>
    <w:rsid w:val="002C60B0"/>
    <w:rsid w:val="002C6D9C"/>
    <w:rsid w:val="002C7832"/>
    <w:rsid w:val="002D0751"/>
    <w:rsid w:val="002D15E7"/>
    <w:rsid w:val="002D33E7"/>
    <w:rsid w:val="002D67AD"/>
    <w:rsid w:val="002D6ECE"/>
    <w:rsid w:val="002E2010"/>
    <w:rsid w:val="002F35BA"/>
    <w:rsid w:val="002F5813"/>
    <w:rsid w:val="002F5E9C"/>
    <w:rsid w:val="002F6609"/>
    <w:rsid w:val="00310D6C"/>
    <w:rsid w:val="0031366F"/>
    <w:rsid w:val="0032101F"/>
    <w:rsid w:val="00322209"/>
    <w:rsid w:val="0032335F"/>
    <w:rsid w:val="00323541"/>
    <w:rsid w:val="00325B88"/>
    <w:rsid w:val="003276A6"/>
    <w:rsid w:val="00332065"/>
    <w:rsid w:val="0033224B"/>
    <w:rsid w:val="00332B64"/>
    <w:rsid w:val="0033426F"/>
    <w:rsid w:val="00336B34"/>
    <w:rsid w:val="0034016D"/>
    <w:rsid w:val="00340849"/>
    <w:rsid w:val="00341A3B"/>
    <w:rsid w:val="0034275C"/>
    <w:rsid w:val="00342FEB"/>
    <w:rsid w:val="00347320"/>
    <w:rsid w:val="003474B0"/>
    <w:rsid w:val="00347FD9"/>
    <w:rsid w:val="00350CF4"/>
    <w:rsid w:val="00350FBE"/>
    <w:rsid w:val="003512AC"/>
    <w:rsid w:val="003524C6"/>
    <w:rsid w:val="0035321F"/>
    <w:rsid w:val="003541F4"/>
    <w:rsid w:val="00357ED1"/>
    <w:rsid w:val="0036041F"/>
    <w:rsid w:val="0036042B"/>
    <w:rsid w:val="003633A5"/>
    <w:rsid w:val="00364015"/>
    <w:rsid w:val="003643A2"/>
    <w:rsid w:val="0037008A"/>
    <w:rsid w:val="00370835"/>
    <w:rsid w:val="003719EC"/>
    <w:rsid w:val="0037699E"/>
    <w:rsid w:val="0038076A"/>
    <w:rsid w:val="00381686"/>
    <w:rsid w:val="00382979"/>
    <w:rsid w:val="00387AAE"/>
    <w:rsid w:val="0039099C"/>
    <w:rsid w:val="00394E81"/>
    <w:rsid w:val="00396725"/>
    <w:rsid w:val="003A1BFE"/>
    <w:rsid w:val="003A2F26"/>
    <w:rsid w:val="003A49DA"/>
    <w:rsid w:val="003A5F20"/>
    <w:rsid w:val="003B67E9"/>
    <w:rsid w:val="003C13EC"/>
    <w:rsid w:val="003C2258"/>
    <w:rsid w:val="003C5F94"/>
    <w:rsid w:val="003C7D75"/>
    <w:rsid w:val="003D1679"/>
    <w:rsid w:val="003D2075"/>
    <w:rsid w:val="003D31AE"/>
    <w:rsid w:val="003D3D09"/>
    <w:rsid w:val="003D4165"/>
    <w:rsid w:val="003D616D"/>
    <w:rsid w:val="003E52D4"/>
    <w:rsid w:val="003E56AF"/>
    <w:rsid w:val="003E6C7A"/>
    <w:rsid w:val="003F2AA3"/>
    <w:rsid w:val="003F4688"/>
    <w:rsid w:val="003F46F9"/>
    <w:rsid w:val="003F5FC8"/>
    <w:rsid w:val="003F79F2"/>
    <w:rsid w:val="00400537"/>
    <w:rsid w:val="00404761"/>
    <w:rsid w:val="004066D5"/>
    <w:rsid w:val="0041124E"/>
    <w:rsid w:val="00412D73"/>
    <w:rsid w:val="00413316"/>
    <w:rsid w:val="004137B4"/>
    <w:rsid w:val="0041561B"/>
    <w:rsid w:val="00415C17"/>
    <w:rsid w:val="0042177E"/>
    <w:rsid w:val="00421890"/>
    <w:rsid w:val="00425460"/>
    <w:rsid w:val="00425955"/>
    <w:rsid w:val="0042597C"/>
    <w:rsid w:val="004301D6"/>
    <w:rsid w:val="00431993"/>
    <w:rsid w:val="00431C07"/>
    <w:rsid w:val="00432091"/>
    <w:rsid w:val="00432DAE"/>
    <w:rsid w:val="00432F4F"/>
    <w:rsid w:val="004333F3"/>
    <w:rsid w:val="004407DD"/>
    <w:rsid w:val="00442F96"/>
    <w:rsid w:val="004447D4"/>
    <w:rsid w:val="004531FF"/>
    <w:rsid w:val="004534FB"/>
    <w:rsid w:val="004540B7"/>
    <w:rsid w:val="00454DED"/>
    <w:rsid w:val="00454E1B"/>
    <w:rsid w:val="004566B9"/>
    <w:rsid w:val="00456B7D"/>
    <w:rsid w:val="004628C6"/>
    <w:rsid w:val="00462A15"/>
    <w:rsid w:val="004654A4"/>
    <w:rsid w:val="0046666C"/>
    <w:rsid w:val="00471D66"/>
    <w:rsid w:val="00480B35"/>
    <w:rsid w:val="00480B84"/>
    <w:rsid w:val="00482AC7"/>
    <w:rsid w:val="00482DF5"/>
    <w:rsid w:val="00485361"/>
    <w:rsid w:val="004861F7"/>
    <w:rsid w:val="00486D23"/>
    <w:rsid w:val="00487AB6"/>
    <w:rsid w:val="004908DA"/>
    <w:rsid w:val="0049304D"/>
    <w:rsid w:val="00493119"/>
    <w:rsid w:val="00496874"/>
    <w:rsid w:val="00497811"/>
    <w:rsid w:val="004A0F8E"/>
    <w:rsid w:val="004A1F72"/>
    <w:rsid w:val="004A3531"/>
    <w:rsid w:val="004A6F44"/>
    <w:rsid w:val="004B06A0"/>
    <w:rsid w:val="004B06C0"/>
    <w:rsid w:val="004B06C5"/>
    <w:rsid w:val="004B1B0E"/>
    <w:rsid w:val="004B1B18"/>
    <w:rsid w:val="004B3549"/>
    <w:rsid w:val="004B4E57"/>
    <w:rsid w:val="004B79D9"/>
    <w:rsid w:val="004C5230"/>
    <w:rsid w:val="004C5F3F"/>
    <w:rsid w:val="004D0219"/>
    <w:rsid w:val="004D4F17"/>
    <w:rsid w:val="004D61D1"/>
    <w:rsid w:val="004E12A7"/>
    <w:rsid w:val="004E158A"/>
    <w:rsid w:val="004E1A78"/>
    <w:rsid w:val="004E2D49"/>
    <w:rsid w:val="004E37F0"/>
    <w:rsid w:val="004E4AF8"/>
    <w:rsid w:val="004E65E8"/>
    <w:rsid w:val="004E68E7"/>
    <w:rsid w:val="004E71A9"/>
    <w:rsid w:val="004F0D01"/>
    <w:rsid w:val="004F5203"/>
    <w:rsid w:val="004F60C4"/>
    <w:rsid w:val="00500AA8"/>
    <w:rsid w:val="005021A3"/>
    <w:rsid w:val="00503344"/>
    <w:rsid w:val="0051055C"/>
    <w:rsid w:val="00511B17"/>
    <w:rsid w:val="0051211C"/>
    <w:rsid w:val="0051234D"/>
    <w:rsid w:val="0051367A"/>
    <w:rsid w:val="00513C9E"/>
    <w:rsid w:val="00514985"/>
    <w:rsid w:val="005151BD"/>
    <w:rsid w:val="0052000B"/>
    <w:rsid w:val="00522092"/>
    <w:rsid w:val="00522843"/>
    <w:rsid w:val="005243B8"/>
    <w:rsid w:val="00524B73"/>
    <w:rsid w:val="0052569E"/>
    <w:rsid w:val="00527279"/>
    <w:rsid w:val="005320E6"/>
    <w:rsid w:val="005330DD"/>
    <w:rsid w:val="00533884"/>
    <w:rsid w:val="0053538E"/>
    <w:rsid w:val="00537703"/>
    <w:rsid w:val="00541315"/>
    <w:rsid w:val="00541911"/>
    <w:rsid w:val="005545F6"/>
    <w:rsid w:val="0055480B"/>
    <w:rsid w:val="005571E7"/>
    <w:rsid w:val="00557529"/>
    <w:rsid w:val="00560FC7"/>
    <w:rsid w:val="00562C02"/>
    <w:rsid w:val="0056448C"/>
    <w:rsid w:val="0056554A"/>
    <w:rsid w:val="00567328"/>
    <w:rsid w:val="00572957"/>
    <w:rsid w:val="0057518D"/>
    <w:rsid w:val="005843C7"/>
    <w:rsid w:val="00584BEE"/>
    <w:rsid w:val="005878C2"/>
    <w:rsid w:val="00592BD6"/>
    <w:rsid w:val="005942B9"/>
    <w:rsid w:val="00594907"/>
    <w:rsid w:val="00597067"/>
    <w:rsid w:val="005B75D2"/>
    <w:rsid w:val="005C0684"/>
    <w:rsid w:val="005C1B6E"/>
    <w:rsid w:val="005C6EF0"/>
    <w:rsid w:val="005D035E"/>
    <w:rsid w:val="005D172B"/>
    <w:rsid w:val="005D28D3"/>
    <w:rsid w:val="005D5EF1"/>
    <w:rsid w:val="005E0143"/>
    <w:rsid w:val="005E08F7"/>
    <w:rsid w:val="005E3A66"/>
    <w:rsid w:val="005E3F47"/>
    <w:rsid w:val="005E6311"/>
    <w:rsid w:val="005E6E58"/>
    <w:rsid w:val="005F1858"/>
    <w:rsid w:val="005F2367"/>
    <w:rsid w:val="005F26D9"/>
    <w:rsid w:val="005F288B"/>
    <w:rsid w:val="005F3F1D"/>
    <w:rsid w:val="005F451F"/>
    <w:rsid w:val="005F4DCE"/>
    <w:rsid w:val="005F4DD5"/>
    <w:rsid w:val="005F64A2"/>
    <w:rsid w:val="00601280"/>
    <w:rsid w:val="00603EAC"/>
    <w:rsid w:val="00607602"/>
    <w:rsid w:val="00607769"/>
    <w:rsid w:val="00607FF4"/>
    <w:rsid w:val="0061267C"/>
    <w:rsid w:val="00623CD8"/>
    <w:rsid w:val="0063045E"/>
    <w:rsid w:val="00634412"/>
    <w:rsid w:val="006361A3"/>
    <w:rsid w:val="00636B77"/>
    <w:rsid w:val="00640979"/>
    <w:rsid w:val="00640BE1"/>
    <w:rsid w:val="00641C9C"/>
    <w:rsid w:val="00642695"/>
    <w:rsid w:val="006426BE"/>
    <w:rsid w:val="0064647E"/>
    <w:rsid w:val="00646E55"/>
    <w:rsid w:val="0064798F"/>
    <w:rsid w:val="0065054C"/>
    <w:rsid w:val="00652A31"/>
    <w:rsid w:val="0065340A"/>
    <w:rsid w:val="00660496"/>
    <w:rsid w:val="00660916"/>
    <w:rsid w:val="00660FE1"/>
    <w:rsid w:val="00661314"/>
    <w:rsid w:val="006628A5"/>
    <w:rsid w:val="00663923"/>
    <w:rsid w:val="006654CA"/>
    <w:rsid w:val="006655FB"/>
    <w:rsid w:val="00671055"/>
    <w:rsid w:val="0067620B"/>
    <w:rsid w:val="00677FF4"/>
    <w:rsid w:val="00681202"/>
    <w:rsid w:val="0068281F"/>
    <w:rsid w:val="0068310F"/>
    <w:rsid w:val="00683626"/>
    <w:rsid w:val="006850D9"/>
    <w:rsid w:val="0068643E"/>
    <w:rsid w:val="006874ED"/>
    <w:rsid w:val="00690703"/>
    <w:rsid w:val="006912EA"/>
    <w:rsid w:val="006978A6"/>
    <w:rsid w:val="00697B25"/>
    <w:rsid w:val="006A0219"/>
    <w:rsid w:val="006A2DE4"/>
    <w:rsid w:val="006A56BB"/>
    <w:rsid w:val="006B1941"/>
    <w:rsid w:val="006B246B"/>
    <w:rsid w:val="006B5E92"/>
    <w:rsid w:val="006B67D2"/>
    <w:rsid w:val="006C137E"/>
    <w:rsid w:val="006C1A50"/>
    <w:rsid w:val="006C494E"/>
    <w:rsid w:val="006C56F5"/>
    <w:rsid w:val="006C5E2F"/>
    <w:rsid w:val="006C6F06"/>
    <w:rsid w:val="006C7C90"/>
    <w:rsid w:val="006D1669"/>
    <w:rsid w:val="006D23CC"/>
    <w:rsid w:val="006D38F0"/>
    <w:rsid w:val="006D67DE"/>
    <w:rsid w:val="006E15F5"/>
    <w:rsid w:val="006E1A99"/>
    <w:rsid w:val="006E3AD0"/>
    <w:rsid w:val="006E4F5E"/>
    <w:rsid w:val="006F7285"/>
    <w:rsid w:val="0070576F"/>
    <w:rsid w:val="00712F4D"/>
    <w:rsid w:val="007141CA"/>
    <w:rsid w:val="00721980"/>
    <w:rsid w:val="00725B2B"/>
    <w:rsid w:val="00727D38"/>
    <w:rsid w:val="00727FF6"/>
    <w:rsid w:val="007314DE"/>
    <w:rsid w:val="007358A4"/>
    <w:rsid w:val="00737967"/>
    <w:rsid w:val="00740CF5"/>
    <w:rsid w:val="00741619"/>
    <w:rsid w:val="00742AE9"/>
    <w:rsid w:val="007452ED"/>
    <w:rsid w:val="00746382"/>
    <w:rsid w:val="0074649A"/>
    <w:rsid w:val="0075608A"/>
    <w:rsid w:val="00756BC4"/>
    <w:rsid w:val="0075748D"/>
    <w:rsid w:val="00764155"/>
    <w:rsid w:val="0076595A"/>
    <w:rsid w:val="00774CA2"/>
    <w:rsid w:val="0077625D"/>
    <w:rsid w:val="00777311"/>
    <w:rsid w:val="0078049E"/>
    <w:rsid w:val="007823D9"/>
    <w:rsid w:val="00782857"/>
    <w:rsid w:val="0078493C"/>
    <w:rsid w:val="00785971"/>
    <w:rsid w:val="0078635C"/>
    <w:rsid w:val="007863B6"/>
    <w:rsid w:val="00786E23"/>
    <w:rsid w:val="00790E9D"/>
    <w:rsid w:val="00791CA9"/>
    <w:rsid w:val="007941CC"/>
    <w:rsid w:val="007949EF"/>
    <w:rsid w:val="0079739B"/>
    <w:rsid w:val="007A3DA5"/>
    <w:rsid w:val="007A4D75"/>
    <w:rsid w:val="007A69AA"/>
    <w:rsid w:val="007B541C"/>
    <w:rsid w:val="007B5E42"/>
    <w:rsid w:val="007B63C8"/>
    <w:rsid w:val="007C2771"/>
    <w:rsid w:val="007C2BB6"/>
    <w:rsid w:val="007C759F"/>
    <w:rsid w:val="007D414B"/>
    <w:rsid w:val="007D47D5"/>
    <w:rsid w:val="007D49E8"/>
    <w:rsid w:val="007E1322"/>
    <w:rsid w:val="007E1DFA"/>
    <w:rsid w:val="007E452C"/>
    <w:rsid w:val="007F11E1"/>
    <w:rsid w:val="007F4616"/>
    <w:rsid w:val="007F6FF9"/>
    <w:rsid w:val="007F7435"/>
    <w:rsid w:val="00800060"/>
    <w:rsid w:val="00803C99"/>
    <w:rsid w:val="008042F9"/>
    <w:rsid w:val="0080578E"/>
    <w:rsid w:val="00811BC5"/>
    <w:rsid w:val="00811DD2"/>
    <w:rsid w:val="008122B1"/>
    <w:rsid w:val="00812F60"/>
    <w:rsid w:val="00817D51"/>
    <w:rsid w:val="008219DA"/>
    <w:rsid w:val="008233E8"/>
    <w:rsid w:val="00827FA4"/>
    <w:rsid w:val="00833E7C"/>
    <w:rsid w:val="008352DC"/>
    <w:rsid w:val="00837EDE"/>
    <w:rsid w:val="008444D2"/>
    <w:rsid w:val="008454C3"/>
    <w:rsid w:val="00852CAB"/>
    <w:rsid w:val="00854CB3"/>
    <w:rsid w:val="00861B9C"/>
    <w:rsid w:val="00872D04"/>
    <w:rsid w:val="008742FF"/>
    <w:rsid w:val="008832F5"/>
    <w:rsid w:val="00887AD8"/>
    <w:rsid w:val="00890C48"/>
    <w:rsid w:val="00893E0A"/>
    <w:rsid w:val="008951B2"/>
    <w:rsid w:val="0089587E"/>
    <w:rsid w:val="008963DB"/>
    <w:rsid w:val="008A0957"/>
    <w:rsid w:val="008A270E"/>
    <w:rsid w:val="008A3B53"/>
    <w:rsid w:val="008C01B7"/>
    <w:rsid w:val="008C0739"/>
    <w:rsid w:val="008C3A80"/>
    <w:rsid w:val="008C76AF"/>
    <w:rsid w:val="008D276B"/>
    <w:rsid w:val="008D3DEB"/>
    <w:rsid w:val="008D7B5B"/>
    <w:rsid w:val="008D7EC2"/>
    <w:rsid w:val="008E01A7"/>
    <w:rsid w:val="008E1278"/>
    <w:rsid w:val="008E6517"/>
    <w:rsid w:val="008E66FE"/>
    <w:rsid w:val="008F0E58"/>
    <w:rsid w:val="008F6C0F"/>
    <w:rsid w:val="009004B4"/>
    <w:rsid w:val="00900594"/>
    <w:rsid w:val="00903E9C"/>
    <w:rsid w:val="00904759"/>
    <w:rsid w:val="009111CF"/>
    <w:rsid w:val="0091492E"/>
    <w:rsid w:val="009207F4"/>
    <w:rsid w:val="00921FA3"/>
    <w:rsid w:val="00922F00"/>
    <w:rsid w:val="00924174"/>
    <w:rsid w:val="009254CF"/>
    <w:rsid w:val="009259FF"/>
    <w:rsid w:val="00927D73"/>
    <w:rsid w:val="0093259D"/>
    <w:rsid w:val="009331DA"/>
    <w:rsid w:val="009343FF"/>
    <w:rsid w:val="00937A28"/>
    <w:rsid w:val="0094582E"/>
    <w:rsid w:val="0094619D"/>
    <w:rsid w:val="00947D85"/>
    <w:rsid w:val="009517DF"/>
    <w:rsid w:val="00954802"/>
    <w:rsid w:val="0095695B"/>
    <w:rsid w:val="00962D8F"/>
    <w:rsid w:val="00970B0C"/>
    <w:rsid w:val="00973AFD"/>
    <w:rsid w:val="00980306"/>
    <w:rsid w:val="00980AED"/>
    <w:rsid w:val="00987AE5"/>
    <w:rsid w:val="00987B36"/>
    <w:rsid w:val="00990BC0"/>
    <w:rsid w:val="0099388E"/>
    <w:rsid w:val="00995C11"/>
    <w:rsid w:val="0099674C"/>
    <w:rsid w:val="009A4DDC"/>
    <w:rsid w:val="009A5332"/>
    <w:rsid w:val="009A6843"/>
    <w:rsid w:val="009B11E2"/>
    <w:rsid w:val="009B14D4"/>
    <w:rsid w:val="009B290D"/>
    <w:rsid w:val="009B4DA7"/>
    <w:rsid w:val="009B7D74"/>
    <w:rsid w:val="009C4FC7"/>
    <w:rsid w:val="009C7F61"/>
    <w:rsid w:val="009D32A2"/>
    <w:rsid w:val="009D40C2"/>
    <w:rsid w:val="009D48BF"/>
    <w:rsid w:val="009D5E18"/>
    <w:rsid w:val="009D7094"/>
    <w:rsid w:val="009D7F4C"/>
    <w:rsid w:val="009E00BA"/>
    <w:rsid w:val="009E1C85"/>
    <w:rsid w:val="009E48CD"/>
    <w:rsid w:val="009F113C"/>
    <w:rsid w:val="009F5716"/>
    <w:rsid w:val="009F58C5"/>
    <w:rsid w:val="009F60AC"/>
    <w:rsid w:val="00A0038D"/>
    <w:rsid w:val="00A00894"/>
    <w:rsid w:val="00A00CFA"/>
    <w:rsid w:val="00A00D10"/>
    <w:rsid w:val="00A0159E"/>
    <w:rsid w:val="00A10C9E"/>
    <w:rsid w:val="00A11D1F"/>
    <w:rsid w:val="00A11E4D"/>
    <w:rsid w:val="00A12C63"/>
    <w:rsid w:val="00A13991"/>
    <w:rsid w:val="00A146E9"/>
    <w:rsid w:val="00A2331F"/>
    <w:rsid w:val="00A23624"/>
    <w:rsid w:val="00A25CF9"/>
    <w:rsid w:val="00A33EAE"/>
    <w:rsid w:val="00A34280"/>
    <w:rsid w:val="00A3696F"/>
    <w:rsid w:val="00A41DE4"/>
    <w:rsid w:val="00A437FB"/>
    <w:rsid w:val="00A472A7"/>
    <w:rsid w:val="00A4790C"/>
    <w:rsid w:val="00A47F9A"/>
    <w:rsid w:val="00A50DED"/>
    <w:rsid w:val="00A5277F"/>
    <w:rsid w:val="00A52A3B"/>
    <w:rsid w:val="00A54006"/>
    <w:rsid w:val="00A55A51"/>
    <w:rsid w:val="00A572E4"/>
    <w:rsid w:val="00A6087B"/>
    <w:rsid w:val="00A614E2"/>
    <w:rsid w:val="00A61E2A"/>
    <w:rsid w:val="00A67326"/>
    <w:rsid w:val="00A70F51"/>
    <w:rsid w:val="00A70F7D"/>
    <w:rsid w:val="00A72241"/>
    <w:rsid w:val="00A80451"/>
    <w:rsid w:val="00A81F96"/>
    <w:rsid w:val="00A84890"/>
    <w:rsid w:val="00A84FAA"/>
    <w:rsid w:val="00A93069"/>
    <w:rsid w:val="00A953C7"/>
    <w:rsid w:val="00A96BB7"/>
    <w:rsid w:val="00AA07F9"/>
    <w:rsid w:val="00AA0D96"/>
    <w:rsid w:val="00AA3610"/>
    <w:rsid w:val="00AA5D52"/>
    <w:rsid w:val="00AA6F6F"/>
    <w:rsid w:val="00AA7BE1"/>
    <w:rsid w:val="00AB0F27"/>
    <w:rsid w:val="00AB3CEE"/>
    <w:rsid w:val="00AB7ADF"/>
    <w:rsid w:val="00AC0E67"/>
    <w:rsid w:val="00AC19F1"/>
    <w:rsid w:val="00AC2A49"/>
    <w:rsid w:val="00AC5306"/>
    <w:rsid w:val="00AC6055"/>
    <w:rsid w:val="00AC6080"/>
    <w:rsid w:val="00AC783A"/>
    <w:rsid w:val="00AD534B"/>
    <w:rsid w:val="00AD61FA"/>
    <w:rsid w:val="00AD636F"/>
    <w:rsid w:val="00AD71DE"/>
    <w:rsid w:val="00AD7EE5"/>
    <w:rsid w:val="00AE160F"/>
    <w:rsid w:val="00AF211A"/>
    <w:rsid w:val="00AF5E1D"/>
    <w:rsid w:val="00B02A93"/>
    <w:rsid w:val="00B10F71"/>
    <w:rsid w:val="00B11E89"/>
    <w:rsid w:val="00B16902"/>
    <w:rsid w:val="00B21898"/>
    <w:rsid w:val="00B22171"/>
    <w:rsid w:val="00B32D9B"/>
    <w:rsid w:val="00B3424C"/>
    <w:rsid w:val="00B356F4"/>
    <w:rsid w:val="00B358DF"/>
    <w:rsid w:val="00B36E3E"/>
    <w:rsid w:val="00B37E24"/>
    <w:rsid w:val="00B415A4"/>
    <w:rsid w:val="00B41B87"/>
    <w:rsid w:val="00B507C7"/>
    <w:rsid w:val="00B515F2"/>
    <w:rsid w:val="00B51649"/>
    <w:rsid w:val="00B518B7"/>
    <w:rsid w:val="00B52A1D"/>
    <w:rsid w:val="00B52FBA"/>
    <w:rsid w:val="00B53603"/>
    <w:rsid w:val="00B54EA8"/>
    <w:rsid w:val="00B574B9"/>
    <w:rsid w:val="00B65A56"/>
    <w:rsid w:val="00B66F5E"/>
    <w:rsid w:val="00B67E56"/>
    <w:rsid w:val="00B76536"/>
    <w:rsid w:val="00B76EC9"/>
    <w:rsid w:val="00B835A5"/>
    <w:rsid w:val="00B846B1"/>
    <w:rsid w:val="00B85808"/>
    <w:rsid w:val="00B85A89"/>
    <w:rsid w:val="00B90E2F"/>
    <w:rsid w:val="00B92472"/>
    <w:rsid w:val="00B954EA"/>
    <w:rsid w:val="00B96B26"/>
    <w:rsid w:val="00BA5052"/>
    <w:rsid w:val="00BA6ABB"/>
    <w:rsid w:val="00BA70B2"/>
    <w:rsid w:val="00BA7F36"/>
    <w:rsid w:val="00BB4F07"/>
    <w:rsid w:val="00BC23DE"/>
    <w:rsid w:val="00BC5410"/>
    <w:rsid w:val="00BD2065"/>
    <w:rsid w:val="00BD2D1D"/>
    <w:rsid w:val="00BE25AE"/>
    <w:rsid w:val="00BF1C06"/>
    <w:rsid w:val="00BF3C84"/>
    <w:rsid w:val="00C05D87"/>
    <w:rsid w:val="00C13367"/>
    <w:rsid w:val="00C15074"/>
    <w:rsid w:val="00C16089"/>
    <w:rsid w:val="00C16877"/>
    <w:rsid w:val="00C168E5"/>
    <w:rsid w:val="00C202AB"/>
    <w:rsid w:val="00C20BF4"/>
    <w:rsid w:val="00C226DB"/>
    <w:rsid w:val="00C25EAA"/>
    <w:rsid w:val="00C2665F"/>
    <w:rsid w:val="00C36E2F"/>
    <w:rsid w:val="00C3701E"/>
    <w:rsid w:val="00C40E75"/>
    <w:rsid w:val="00C41A80"/>
    <w:rsid w:val="00C43915"/>
    <w:rsid w:val="00C560C6"/>
    <w:rsid w:val="00C61AEC"/>
    <w:rsid w:val="00C633F4"/>
    <w:rsid w:val="00C70EBA"/>
    <w:rsid w:val="00C7546C"/>
    <w:rsid w:val="00C804A3"/>
    <w:rsid w:val="00C8080A"/>
    <w:rsid w:val="00C808A4"/>
    <w:rsid w:val="00C80AFA"/>
    <w:rsid w:val="00C845E2"/>
    <w:rsid w:val="00C85236"/>
    <w:rsid w:val="00C87715"/>
    <w:rsid w:val="00C9084F"/>
    <w:rsid w:val="00C91798"/>
    <w:rsid w:val="00C93DD0"/>
    <w:rsid w:val="00C9543E"/>
    <w:rsid w:val="00C95E25"/>
    <w:rsid w:val="00C9641E"/>
    <w:rsid w:val="00CA3D88"/>
    <w:rsid w:val="00CB1455"/>
    <w:rsid w:val="00CB1F2A"/>
    <w:rsid w:val="00CB4846"/>
    <w:rsid w:val="00CB70E2"/>
    <w:rsid w:val="00CC0FAD"/>
    <w:rsid w:val="00CC2E9A"/>
    <w:rsid w:val="00CC37A8"/>
    <w:rsid w:val="00CC5C9E"/>
    <w:rsid w:val="00CD0447"/>
    <w:rsid w:val="00CD15CC"/>
    <w:rsid w:val="00CD18FC"/>
    <w:rsid w:val="00CD220F"/>
    <w:rsid w:val="00CD2344"/>
    <w:rsid w:val="00CD5475"/>
    <w:rsid w:val="00CD5BAD"/>
    <w:rsid w:val="00CD5DC0"/>
    <w:rsid w:val="00CD6A0C"/>
    <w:rsid w:val="00CF1411"/>
    <w:rsid w:val="00CF2B22"/>
    <w:rsid w:val="00CF2DB5"/>
    <w:rsid w:val="00CF41A8"/>
    <w:rsid w:val="00D001F5"/>
    <w:rsid w:val="00D0407B"/>
    <w:rsid w:val="00D15DAF"/>
    <w:rsid w:val="00D16733"/>
    <w:rsid w:val="00D173AD"/>
    <w:rsid w:val="00D17AA3"/>
    <w:rsid w:val="00D2123C"/>
    <w:rsid w:val="00D2495D"/>
    <w:rsid w:val="00D25C6B"/>
    <w:rsid w:val="00D340F8"/>
    <w:rsid w:val="00D35714"/>
    <w:rsid w:val="00D417C1"/>
    <w:rsid w:val="00D447CB"/>
    <w:rsid w:val="00D448B7"/>
    <w:rsid w:val="00D45C27"/>
    <w:rsid w:val="00D5016B"/>
    <w:rsid w:val="00D52274"/>
    <w:rsid w:val="00D52275"/>
    <w:rsid w:val="00D52D26"/>
    <w:rsid w:val="00D53426"/>
    <w:rsid w:val="00D553F7"/>
    <w:rsid w:val="00D57A75"/>
    <w:rsid w:val="00D617C4"/>
    <w:rsid w:val="00D61DED"/>
    <w:rsid w:val="00D62E93"/>
    <w:rsid w:val="00D6563F"/>
    <w:rsid w:val="00D660D6"/>
    <w:rsid w:val="00D67F96"/>
    <w:rsid w:val="00D71D26"/>
    <w:rsid w:val="00D73121"/>
    <w:rsid w:val="00D74EE0"/>
    <w:rsid w:val="00D75E00"/>
    <w:rsid w:val="00D762F5"/>
    <w:rsid w:val="00D76394"/>
    <w:rsid w:val="00D76BB0"/>
    <w:rsid w:val="00D77726"/>
    <w:rsid w:val="00D817B4"/>
    <w:rsid w:val="00D81B94"/>
    <w:rsid w:val="00D81D56"/>
    <w:rsid w:val="00D83C32"/>
    <w:rsid w:val="00D96540"/>
    <w:rsid w:val="00D97C87"/>
    <w:rsid w:val="00D97FE7"/>
    <w:rsid w:val="00DA2A64"/>
    <w:rsid w:val="00DA2EFE"/>
    <w:rsid w:val="00DA4477"/>
    <w:rsid w:val="00DA55B8"/>
    <w:rsid w:val="00DA6388"/>
    <w:rsid w:val="00DA6A6C"/>
    <w:rsid w:val="00DB00E0"/>
    <w:rsid w:val="00DB56B2"/>
    <w:rsid w:val="00DC1862"/>
    <w:rsid w:val="00DC416E"/>
    <w:rsid w:val="00DC4359"/>
    <w:rsid w:val="00DC76A7"/>
    <w:rsid w:val="00DD1C48"/>
    <w:rsid w:val="00DE295E"/>
    <w:rsid w:val="00DE33EC"/>
    <w:rsid w:val="00DF0471"/>
    <w:rsid w:val="00DF1078"/>
    <w:rsid w:val="00DF15A4"/>
    <w:rsid w:val="00DF2250"/>
    <w:rsid w:val="00DF573C"/>
    <w:rsid w:val="00E03C9B"/>
    <w:rsid w:val="00E0440B"/>
    <w:rsid w:val="00E0487A"/>
    <w:rsid w:val="00E0566F"/>
    <w:rsid w:val="00E058C6"/>
    <w:rsid w:val="00E05DDB"/>
    <w:rsid w:val="00E0663F"/>
    <w:rsid w:val="00E0716C"/>
    <w:rsid w:val="00E07696"/>
    <w:rsid w:val="00E13CB0"/>
    <w:rsid w:val="00E17F76"/>
    <w:rsid w:val="00E20834"/>
    <w:rsid w:val="00E20B42"/>
    <w:rsid w:val="00E2209F"/>
    <w:rsid w:val="00E22D1A"/>
    <w:rsid w:val="00E2568A"/>
    <w:rsid w:val="00E25B5C"/>
    <w:rsid w:val="00E27E56"/>
    <w:rsid w:val="00E336F3"/>
    <w:rsid w:val="00E43AC7"/>
    <w:rsid w:val="00E43AEF"/>
    <w:rsid w:val="00E45413"/>
    <w:rsid w:val="00E45F39"/>
    <w:rsid w:val="00E50AAB"/>
    <w:rsid w:val="00E51227"/>
    <w:rsid w:val="00E51C92"/>
    <w:rsid w:val="00E55F95"/>
    <w:rsid w:val="00E56AEA"/>
    <w:rsid w:val="00E60932"/>
    <w:rsid w:val="00E61C0B"/>
    <w:rsid w:val="00E64092"/>
    <w:rsid w:val="00E65922"/>
    <w:rsid w:val="00E66A07"/>
    <w:rsid w:val="00E67411"/>
    <w:rsid w:val="00E743B0"/>
    <w:rsid w:val="00E75AC5"/>
    <w:rsid w:val="00E75DC7"/>
    <w:rsid w:val="00E7674A"/>
    <w:rsid w:val="00E77F65"/>
    <w:rsid w:val="00E80BF8"/>
    <w:rsid w:val="00E81632"/>
    <w:rsid w:val="00E81A50"/>
    <w:rsid w:val="00E86F49"/>
    <w:rsid w:val="00E876B0"/>
    <w:rsid w:val="00E95555"/>
    <w:rsid w:val="00EA4404"/>
    <w:rsid w:val="00EA4A04"/>
    <w:rsid w:val="00EA4D17"/>
    <w:rsid w:val="00EA6915"/>
    <w:rsid w:val="00EA742E"/>
    <w:rsid w:val="00EB237B"/>
    <w:rsid w:val="00EB5F57"/>
    <w:rsid w:val="00EB69DA"/>
    <w:rsid w:val="00EC088A"/>
    <w:rsid w:val="00EC5AA4"/>
    <w:rsid w:val="00ED08B9"/>
    <w:rsid w:val="00ED3041"/>
    <w:rsid w:val="00ED3927"/>
    <w:rsid w:val="00ED6816"/>
    <w:rsid w:val="00ED6891"/>
    <w:rsid w:val="00ED6DD6"/>
    <w:rsid w:val="00ED7F6B"/>
    <w:rsid w:val="00EE0670"/>
    <w:rsid w:val="00EE25EE"/>
    <w:rsid w:val="00EE37BB"/>
    <w:rsid w:val="00EE4A93"/>
    <w:rsid w:val="00EF2A48"/>
    <w:rsid w:val="00EF41C5"/>
    <w:rsid w:val="00EF5662"/>
    <w:rsid w:val="00F0139B"/>
    <w:rsid w:val="00F039BF"/>
    <w:rsid w:val="00F03A73"/>
    <w:rsid w:val="00F05C05"/>
    <w:rsid w:val="00F05E3F"/>
    <w:rsid w:val="00F05E99"/>
    <w:rsid w:val="00F06A48"/>
    <w:rsid w:val="00F1127B"/>
    <w:rsid w:val="00F1129F"/>
    <w:rsid w:val="00F116C0"/>
    <w:rsid w:val="00F11827"/>
    <w:rsid w:val="00F14FA8"/>
    <w:rsid w:val="00F20B50"/>
    <w:rsid w:val="00F2195E"/>
    <w:rsid w:val="00F26276"/>
    <w:rsid w:val="00F3289F"/>
    <w:rsid w:val="00F34FD5"/>
    <w:rsid w:val="00F373F2"/>
    <w:rsid w:val="00F4005E"/>
    <w:rsid w:val="00F4064A"/>
    <w:rsid w:val="00F4103F"/>
    <w:rsid w:val="00F47B16"/>
    <w:rsid w:val="00F50981"/>
    <w:rsid w:val="00F63FFA"/>
    <w:rsid w:val="00F66DBD"/>
    <w:rsid w:val="00F73AA5"/>
    <w:rsid w:val="00F7550A"/>
    <w:rsid w:val="00F76543"/>
    <w:rsid w:val="00F766F7"/>
    <w:rsid w:val="00F774EE"/>
    <w:rsid w:val="00F80059"/>
    <w:rsid w:val="00F87476"/>
    <w:rsid w:val="00F87FD6"/>
    <w:rsid w:val="00F905FA"/>
    <w:rsid w:val="00F90A23"/>
    <w:rsid w:val="00F92336"/>
    <w:rsid w:val="00FA4826"/>
    <w:rsid w:val="00FB07E0"/>
    <w:rsid w:val="00FB2AC0"/>
    <w:rsid w:val="00FB5216"/>
    <w:rsid w:val="00FB649D"/>
    <w:rsid w:val="00FB78CC"/>
    <w:rsid w:val="00FC14F1"/>
    <w:rsid w:val="00FC2412"/>
    <w:rsid w:val="00FC5157"/>
    <w:rsid w:val="00FC5DA9"/>
    <w:rsid w:val="00FD0AC1"/>
    <w:rsid w:val="00FD3DB4"/>
    <w:rsid w:val="00FD681A"/>
    <w:rsid w:val="00FE4D73"/>
    <w:rsid w:val="00FE5A74"/>
    <w:rsid w:val="00FF0BA0"/>
    <w:rsid w:val="00FF35F2"/>
    <w:rsid w:val="00FF46E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60918"/>
  <w15:chartTrackingRefBased/>
  <w15:docId w15:val="{8AFD3E5B-8838-4929-89D2-9C5E6871E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C84"/>
    <w:pPr>
      <w:spacing w:after="120" w:line="336" w:lineRule="auto"/>
    </w:pPr>
    <w:rPr>
      <w:rFonts w:ascii="Aptos" w:hAnsi="Aptos"/>
      <w:sz w:val="26"/>
    </w:rPr>
  </w:style>
  <w:style w:type="paragraph" w:styleId="Heading1">
    <w:name w:val="heading 1"/>
    <w:basedOn w:val="Normal"/>
    <w:next w:val="Normal"/>
    <w:link w:val="Heading1Char"/>
    <w:uiPriority w:val="9"/>
    <w:qFormat/>
    <w:rsid w:val="000C0F87"/>
    <w:pPr>
      <w:keepNext/>
      <w:keepLines/>
      <w:spacing w:before="480" w:after="240" w:line="264" w:lineRule="auto"/>
      <w:outlineLvl w:val="0"/>
    </w:pPr>
    <w:rPr>
      <w:rFonts w:ascii="Aptos Display" w:eastAsiaTheme="majorEastAsia" w:hAnsi="Aptos Display" w:cstheme="majorBidi"/>
      <w:b/>
      <w:color w:val="182741" w:themeColor="text2"/>
      <w:sz w:val="52"/>
      <w:szCs w:val="32"/>
    </w:rPr>
  </w:style>
  <w:style w:type="paragraph" w:styleId="Heading2">
    <w:name w:val="heading 2"/>
    <w:basedOn w:val="Normal"/>
    <w:next w:val="Normal"/>
    <w:link w:val="Heading2Char"/>
    <w:uiPriority w:val="9"/>
    <w:unhideWhenUsed/>
    <w:qFormat/>
    <w:rsid w:val="000C0F87"/>
    <w:pPr>
      <w:keepNext/>
      <w:keepLines/>
      <w:spacing w:before="360" w:line="288" w:lineRule="auto"/>
      <w:outlineLvl w:val="1"/>
    </w:pPr>
    <w:rPr>
      <w:rFonts w:ascii="Aptos SemiBold" w:eastAsiaTheme="majorEastAsia" w:hAnsi="Aptos SemiBold" w:cstheme="majorBidi"/>
      <w:color w:val="3A5A88" w:themeColor="accent1"/>
      <w:sz w:val="40"/>
      <w:szCs w:val="26"/>
    </w:rPr>
  </w:style>
  <w:style w:type="paragraph" w:styleId="Heading3">
    <w:name w:val="heading 3"/>
    <w:basedOn w:val="Normal"/>
    <w:next w:val="Normal"/>
    <w:link w:val="Heading3Char"/>
    <w:uiPriority w:val="9"/>
    <w:unhideWhenUsed/>
    <w:qFormat/>
    <w:rsid w:val="00FE4D73"/>
    <w:pPr>
      <w:keepNext/>
      <w:keepLines/>
      <w:spacing w:before="240"/>
      <w:outlineLvl w:val="2"/>
    </w:pPr>
    <w:rPr>
      <w:rFonts w:ascii="Aptos Display" w:eastAsiaTheme="majorEastAsia" w:hAnsi="Aptos Display" w:cstheme="majorBidi"/>
      <w:b/>
      <w:color w:val="467C81" w:themeColor="accent3"/>
      <w:sz w:val="34"/>
      <w:szCs w:val="24"/>
    </w:rPr>
  </w:style>
  <w:style w:type="paragraph" w:styleId="Heading4">
    <w:name w:val="heading 4"/>
    <w:basedOn w:val="Heading3"/>
    <w:next w:val="Normal"/>
    <w:link w:val="Heading4Char"/>
    <w:uiPriority w:val="9"/>
    <w:unhideWhenUsed/>
    <w:qFormat/>
    <w:rsid w:val="000C0F87"/>
    <w:pPr>
      <w:spacing w:before="120" w:after="40"/>
      <w:outlineLvl w:val="3"/>
    </w:pPr>
    <w:rPr>
      <w:rFonts w:ascii="Aptos SemiBold" w:hAnsi="Aptos SemiBold"/>
      <w:b w:val="0"/>
      <w:color w:val="8F5629" w:themeColor="accent2"/>
      <w:sz w:val="30"/>
    </w:rPr>
  </w:style>
  <w:style w:type="paragraph" w:styleId="Heading5">
    <w:name w:val="heading 5"/>
    <w:basedOn w:val="Normal"/>
    <w:next w:val="Normal"/>
    <w:link w:val="Heading5Char"/>
    <w:uiPriority w:val="9"/>
    <w:unhideWhenUsed/>
    <w:qFormat/>
    <w:rsid w:val="000C0F87"/>
    <w:pPr>
      <w:keepNext/>
      <w:keepLines/>
      <w:spacing w:before="120" w:after="0"/>
      <w:outlineLvl w:val="4"/>
    </w:pPr>
    <w:rPr>
      <w:rFonts w:ascii="Aptos SemiBold" w:eastAsiaTheme="majorEastAsia" w:hAnsi="Aptos SemiBold" w:cstheme="majorBidi"/>
      <w:b/>
      <w:sz w:val="28"/>
    </w:rPr>
  </w:style>
  <w:style w:type="paragraph" w:styleId="Heading6">
    <w:name w:val="heading 6"/>
    <w:basedOn w:val="Normal"/>
    <w:next w:val="Normal"/>
    <w:link w:val="Heading6Char"/>
    <w:uiPriority w:val="9"/>
    <w:unhideWhenUsed/>
    <w:qFormat/>
    <w:rsid w:val="0091492E"/>
    <w:pPr>
      <w:keepNext/>
      <w:keepLines/>
      <w:spacing w:before="40" w:after="0"/>
      <w:outlineLvl w:val="5"/>
    </w:pPr>
    <w:rPr>
      <w:rFonts w:eastAsiaTheme="majorEastAsia" w:cstheme="majorBidi"/>
      <w:b/>
    </w:rPr>
  </w:style>
  <w:style w:type="paragraph" w:styleId="Heading7">
    <w:name w:val="heading 7"/>
    <w:basedOn w:val="Normal"/>
    <w:next w:val="Normal"/>
    <w:link w:val="Heading7Char"/>
    <w:uiPriority w:val="9"/>
    <w:unhideWhenUsed/>
    <w:qFormat/>
    <w:rsid w:val="0091492E"/>
    <w:pPr>
      <w:keepNext/>
      <w:keepLines/>
      <w:spacing w:before="40" w:after="0"/>
      <w:outlineLvl w:val="6"/>
    </w:pPr>
    <w:rPr>
      <w:rFonts w:ascii="Aptos SemiBold" w:eastAsiaTheme="majorEastAsia" w:hAnsi="Aptos SemiBold" w:cstheme="majorBidi"/>
      <w:iCs/>
    </w:rPr>
  </w:style>
  <w:style w:type="paragraph" w:styleId="Heading8">
    <w:name w:val="heading 8"/>
    <w:basedOn w:val="Normal"/>
    <w:next w:val="Normal"/>
    <w:link w:val="Heading8Char"/>
    <w:uiPriority w:val="9"/>
    <w:semiHidden/>
    <w:unhideWhenUsed/>
    <w:qFormat/>
    <w:rsid w:val="00C40E75"/>
    <w:pPr>
      <w:keepNext/>
      <w:keepLines/>
      <w:spacing w:before="40" w:after="0"/>
      <w:outlineLvl w:val="7"/>
    </w:pPr>
    <w:rPr>
      <w:rFonts w:eastAsiaTheme="majorEastAsia" w:cstheme="majorBidi"/>
      <w:b/>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List">
    <w:name w:val="Definition List"/>
    <w:basedOn w:val="Normal"/>
    <w:qFormat/>
    <w:rsid w:val="009A4DDC"/>
    <w:pPr>
      <w:tabs>
        <w:tab w:val="left" w:pos="2160"/>
      </w:tabs>
      <w:ind w:left="2160" w:hanging="2160"/>
    </w:pPr>
  </w:style>
  <w:style w:type="character" w:customStyle="1" w:styleId="Heading1Char">
    <w:name w:val="Heading 1 Char"/>
    <w:basedOn w:val="DefaultParagraphFont"/>
    <w:link w:val="Heading1"/>
    <w:uiPriority w:val="9"/>
    <w:rsid w:val="000C0F87"/>
    <w:rPr>
      <w:rFonts w:ascii="Aptos Display" w:eastAsiaTheme="majorEastAsia" w:hAnsi="Aptos Display" w:cstheme="majorBidi"/>
      <w:b/>
      <w:color w:val="182741" w:themeColor="text2"/>
      <w:sz w:val="52"/>
      <w:szCs w:val="32"/>
    </w:rPr>
  </w:style>
  <w:style w:type="character" w:customStyle="1" w:styleId="Heading2Char">
    <w:name w:val="Heading 2 Char"/>
    <w:basedOn w:val="DefaultParagraphFont"/>
    <w:link w:val="Heading2"/>
    <w:uiPriority w:val="9"/>
    <w:rsid w:val="000C0F87"/>
    <w:rPr>
      <w:rFonts w:ascii="Aptos SemiBold" w:eastAsiaTheme="majorEastAsia" w:hAnsi="Aptos SemiBold" w:cstheme="majorBidi"/>
      <w:color w:val="3A5A88" w:themeColor="accent1"/>
      <w:sz w:val="40"/>
      <w:szCs w:val="26"/>
    </w:rPr>
  </w:style>
  <w:style w:type="character" w:customStyle="1" w:styleId="Heading3Char">
    <w:name w:val="Heading 3 Char"/>
    <w:basedOn w:val="DefaultParagraphFont"/>
    <w:link w:val="Heading3"/>
    <w:uiPriority w:val="9"/>
    <w:rsid w:val="00FE4D73"/>
    <w:rPr>
      <w:rFonts w:ascii="Aptos Display" w:eastAsiaTheme="majorEastAsia" w:hAnsi="Aptos Display" w:cstheme="majorBidi"/>
      <w:b/>
      <w:color w:val="467C81" w:themeColor="accent3"/>
      <w:sz w:val="34"/>
      <w:szCs w:val="24"/>
    </w:rPr>
  </w:style>
  <w:style w:type="paragraph" w:customStyle="1" w:styleId="PanelBody">
    <w:name w:val="Panel Body"/>
    <w:basedOn w:val="Normal"/>
    <w:link w:val="PanelBodyChar"/>
    <w:qFormat/>
    <w:rsid w:val="00AC6080"/>
    <w:pPr>
      <w:pBdr>
        <w:left w:val="single" w:sz="8" w:space="8" w:color="595959" w:themeColor="text1" w:themeTint="A6"/>
        <w:bottom w:val="single" w:sz="8" w:space="8" w:color="595959" w:themeColor="text1" w:themeTint="A6"/>
        <w:right w:val="single" w:sz="8" w:space="8" w:color="595959" w:themeColor="text1" w:themeTint="A6"/>
      </w:pBdr>
      <w:tabs>
        <w:tab w:val="right" w:leader="dot" w:pos="9360"/>
      </w:tabs>
      <w:spacing w:before="240"/>
    </w:pPr>
  </w:style>
  <w:style w:type="paragraph" w:customStyle="1" w:styleId="PanelTitle">
    <w:name w:val="Panel Title"/>
    <w:basedOn w:val="Normal"/>
    <w:link w:val="PanelTitleChar"/>
    <w:qFormat/>
    <w:rsid w:val="00E45413"/>
    <w:pPr>
      <w:pBdr>
        <w:top w:val="single" w:sz="8" w:space="8" w:color="595959" w:themeColor="text1" w:themeTint="A6"/>
        <w:left w:val="single" w:sz="8" w:space="8" w:color="595959" w:themeColor="text1" w:themeTint="A6"/>
        <w:bottom w:val="single" w:sz="8" w:space="6" w:color="595959" w:themeColor="text1" w:themeTint="A6"/>
        <w:right w:val="single" w:sz="8" w:space="8" w:color="595959" w:themeColor="text1" w:themeTint="A6"/>
      </w:pBdr>
      <w:shd w:val="clear" w:color="auto" w:fill="F2F2F2" w:themeFill="background1" w:themeFillShade="F2"/>
      <w:spacing w:before="240" w:after="0"/>
    </w:pPr>
    <w:rPr>
      <w:rFonts w:ascii="Aptos SemiBold" w:hAnsi="Aptos SemiBold"/>
      <w:b/>
      <w:sz w:val="32"/>
    </w:rPr>
  </w:style>
  <w:style w:type="character" w:customStyle="1" w:styleId="PanelBodyChar">
    <w:name w:val="Panel Body Char"/>
    <w:basedOn w:val="DefaultParagraphFont"/>
    <w:link w:val="PanelBody"/>
    <w:rsid w:val="00AC6080"/>
    <w:rPr>
      <w:rFonts w:ascii="Arial" w:hAnsi="Arial"/>
    </w:rPr>
  </w:style>
  <w:style w:type="paragraph" w:customStyle="1" w:styleId="PanelNoTitle">
    <w:name w:val="Panel (No Title)"/>
    <w:basedOn w:val="PanelBody"/>
    <w:link w:val="PanelNoTitleChar"/>
    <w:qFormat/>
    <w:rsid w:val="00FE4D73"/>
    <w:pPr>
      <w:spacing w:before="0"/>
      <w:ind w:left="180"/>
    </w:pPr>
    <w:rPr>
      <w:lang w:val="en-CA"/>
    </w:rPr>
  </w:style>
  <w:style w:type="character" w:customStyle="1" w:styleId="PanelTitleChar">
    <w:name w:val="Panel Title Char"/>
    <w:basedOn w:val="DefaultParagraphFont"/>
    <w:link w:val="PanelTitle"/>
    <w:rsid w:val="00E45413"/>
    <w:rPr>
      <w:rFonts w:ascii="Aptos SemiBold" w:hAnsi="Aptos SemiBold"/>
      <w:b/>
      <w:sz w:val="32"/>
      <w:shd w:val="clear" w:color="auto" w:fill="F2F2F2" w:themeFill="background1" w:themeFillShade="F2"/>
    </w:rPr>
  </w:style>
  <w:style w:type="paragraph" w:styleId="ListParagraph">
    <w:name w:val="List Paragraph"/>
    <w:aliases w:val="Dot pt,Liste 1,F5 List Paragraph,List Paragraph Char Char Char,Indicator Text,Numbered Para 1,Bullet 1,Bullet Points,List Paragraph2,MAIN CONTENT,Normal numbered,List Paragraph1,Recommendation,List Paragraph11,CV text,Table text,L,3"/>
    <w:basedOn w:val="Normal"/>
    <w:link w:val="ListParagraphChar"/>
    <w:uiPriority w:val="34"/>
    <w:qFormat/>
    <w:rsid w:val="00E743B0"/>
    <w:pPr>
      <w:numPr>
        <w:numId w:val="2"/>
      </w:numPr>
      <w:tabs>
        <w:tab w:val="left" w:pos="360"/>
      </w:tabs>
      <w:spacing w:before="120"/>
      <w:ind w:left="720" w:hanging="360"/>
      <w:contextualSpacing/>
    </w:pPr>
    <w:rPr>
      <w:lang w:val="en-CA"/>
    </w:rPr>
  </w:style>
  <w:style w:type="character" w:customStyle="1" w:styleId="PanelNoTitleChar">
    <w:name w:val="Panel (No Title) Char"/>
    <w:basedOn w:val="PanelBodyChar"/>
    <w:link w:val="PanelNoTitle"/>
    <w:rsid w:val="00FE4D73"/>
    <w:rPr>
      <w:rFonts w:ascii="Aptos" w:hAnsi="Aptos"/>
      <w:sz w:val="26"/>
      <w:lang w:val="en-CA"/>
    </w:rPr>
  </w:style>
  <w:style w:type="character" w:styleId="Hyperlink">
    <w:name w:val="Hyperlink"/>
    <w:basedOn w:val="DefaultParagraphFont"/>
    <w:uiPriority w:val="99"/>
    <w:unhideWhenUsed/>
    <w:rsid w:val="007141CA"/>
    <w:rPr>
      <w:color w:val="335289" w:themeColor="hyperlink"/>
      <w:u w:val="single"/>
    </w:rPr>
  </w:style>
  <w:style w:type="character" w:styleId="UnresolvedMention">
    <w:name w:val="Unresolved Mention"/>
    <w:basedOn w:val="DefaultParagraphFont"/>
    <w:uiPriority w:val="99"/>
    <w:semiHidden/>
    <w:unhideWhenUsed/>
    <w:rsid w:val="007141CA"/>
    <w:rPr>
      <w:color w:val="605E5C"/>
      <w:shd w:val="clear" w:color="auto" w:fill="E1DFDD"/>
    </w:rPr>
  </w:style>
  <w:style w:type="character" w:customStyle="1" w:styleId="Heading4Char">
    <w:name w:val="Heading 4 Char"/>
    <w:basedOn w:val="DefaultParagraphFont"/>
    <w:link w:val="Heading4"/>
    <w:uiPriority w:val="9"/>
    <w:rsid w:val="000C0F87"/>
    <w:rPr>
      <w:rFonts w:ascii="Aptos SemiBold" w:eastAsiaTheme="majorEastAsia" w:hAnsi="Aptos SemiBold" w:cstheme="majorBidi"/>
      <w:color w:val="8F5629" w:themeColor="accent2"/>
      <w:sz w:val="30"/>
      <w:szCs w:val="24"/>
    </w:rPr>
  </w:style>
  <w:style w:type="paragraph" w:styleId="Header">
    <w:name w:val="header"/>
    <w:basedOn w:val="Normal"/>
    <w:link w:val="HeaderChar"/>
    <w:uiPriority w:val="99"/>
    <w:unhideWhenUsed/>
    <w:rsid w:val="00AD7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EE5"/>
    <w:rPr>
      <w:rFonts w:ascii="Arial" w:hAnsi="Arial"/>
    </w:rPr>
  </w:style>
  <w:style w:type="paragraph" w:styleId="Footer">
    <w:name w:val="footer"/>
    <w:basedOn w:val="Normal"/>
    <w:link w:val="FooterChar"/>
    <w:uiPriority w:val="99"/>
    <w:unhideWhenUsed/>
    <w:rsid w:val="00DF1078"/>
    <w:pPr>
      <w:tabs>
        <w:tab w:val="center" w:pos="4680"/>
        <w:tab w:val="right" w:pos="9360"/>
      </w:tabs>
      <w:spacing w:before="360" w:after="0" w:line="240" w:lineRule="auto"/>
    </w:pPr>
  </w:style>
  <w:style w:type="character" w:customStyle="1" w:styleId="FooterChar">
    <w:name w:val="Footer Char"/>
    <w:basedOn w:val="DefaultParagraphFont"/>
    <w:link w:val="Footer"/>
    <w:uiPriority w:val="99"/>
    <w:rsid w:val="00DF1078"/>
    <w:rPr>
      <w:rFonts w:ascii="Aptos" w:hAnsi="Aptos"/>
      <w:sz w:val="26"/>
    </w:rPr>
  </w:style>
  <w:style w:type="paragraph" w:styleId="TOC1">
    <w:name w:val="toc 1"/>
    <w:basedOn w:val="Normal"/>
    <w:next w:val="Normal"/>
    <w:autoRedefine/>
    <w:uiPriority w:val="39"/>
    <w:unhideWhenUsed/>
    <w:rsid w:val="00AD7EE5"/>
    <w:pPr>
      <w:spacing w:after="100"/>
    </w:pPr>
  </w:style>
  <w:style w:type="character" w:styleId="CommentReference">
    <w:name w:val="annotation reference"/>
    <w:basedOn w:val="DefaultParagraphFont"/>
    <w:semiHidden/>
    <w:unhideWhenUsed/>
    <w:rsid w:val="0021416F"/>
    <w:rPr>
      <w:sz w:val="16"/>
      <w:szCs w:val="16"/>
    </w:rPr>
  </w:style>
  <w:style w:type="paragraph" w:styleId="CommentText">
    <w:name w:val="annotation text"/>
    <w:basedOn w:val="Normal"/>
    <w:link w:val="CommentTextChar"/>
    <w:unhideWhenUsed/>
    <w:rsid w:val="0021416F"/>
    <w:pPr>
      <w:spacing w:line="240" w:lineRule="auto"/>
    </w:pPr>
    <w:rPr>
      <w:sz w:val="20"/>
      <w:szCs w:val="20"/>
    </w:rPr>
  </w:style>
  <w:style w:type="character" w:customStyle="1" w:styleId="CommentTextChar">
    <w:name w:val="Comment Text Char"/>
    <w:basedOn w:val="DefaultParagraphFont"/>
    <w:link w:val="CommentText"/>
    <w:rsid w:val="0021416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1416F"/>
    <w:rPr>
      <w:b/>
      <w:bCs/>
    </w:rPr>
  </w:style>
  <w:style w:type="character" w:customStyle="1" w:styleId="CommentSubjectChar">
    <w:name w:val="Comment Subject Char"/>
    <w:basedOn w:val="CommentTextChar"/>
    <w:link w:val="CommentSubject"/>
    <w:uiPriority w:val="99"/>
    <w:semiHidden/>
    <w:rsid w:val="0021416F"/>
    <w:rPr>
      <w:rFonts w:ascii="Arial" w:hAnsi="Arial"/>
      <w:b/>
      <w:bCs/>
      <w:sz w:val="20"/>
      <w:szCs w:val="20"/>
    </w:rPr>
  </w:style>
  <w:style w:type="paragraph" w:styleId="IntenseQuote">
    <w:name w:val="Intense Quote"/>
    <w:aliases w:val="Well-grey"/>
    <w:basedOn w:val="Normal"/>
    <w:next w:val="Normal"/>
    <w:link w:val="IntenseQuoteChar"/>
    <w:uiPriority w:val="30"/>
    <w:qFormat/>
    <w:rsid w:val="00FE4D73"/>
    <w:pPr>
      <w:pBdr>
        <w:left w:val="single" w:sz="8" w:space="8" w:color="auto"/>
        <w:bottom w:val="single" w:sz="8" w:space="8" w:color="auto"/>
        <w:right w:val="single" w:sz="8" w:space="8" w:color="auto"/>
      </w:pBdr>
      <w:shd w:val="clear" w:color="auto" w:fill="F2F2F2" w:themeFill="background1" w:themeFillShade="F2"/>
      <w:ind w:left="187"/>
    </w:pPr>
    <w:rPr>
      <w:iCs/>
      <w:color w:val="000000" w:themeColor="text1"/>
      <w:lang w:val="en-CA"/>
    </w:rPr>
  </w:style>
  <w:style w:type="character" w:customStyle="1" w:styleId="IntenseQuoteChar">
    <w:name w:val="Intense Quote Char"/>
    <w:aliases w:val="Well-grey Char"/>
    <w:basedOn w:val="DefaultParagraphFont"/>
    <w:link w:val="IntenseQuote"/>
    <w:uiPriority w:val="30"/>
    <w:rsid w:val="00FE4D73"/>
    <w:rPr>
      <w:rFonts w:ascii="Aptos" w:hAnsi="Aptos"/>
      <w:iCs/>
      <w:color w:val="000000" w:themeColor="text1"/>
      <w:sz w:val="26"/>
      <w:shd w:val="clear" w:color="auto" w:fill="F2F2F2" w:themeFill="background1" w:themeFillShade="F2"/>
      <w:lang w:val="en-CA"/>
    </w:rPr>
  </w:style>
  <w:style w:type="paragraph" w:styleId="Quote">
    <w:name w:val="Quote"/>
    <w:aliases w:val="Blockquote"/>
    <w:basedOn w:val="Normal"/>
    <w:next w:val="Normal"/>
    <w:link w:val="QuoteChar"/>
    <w:uiPriority w:val="29"/>
    <w:qFormat/>
    <w:rsid w:val="00FE4D73"/>
    <w:pPr>
      <w:pBdr>
        <w:left w:val="single" w:sz="36" w:space="12" w:color="AECFD3" w:themeColor="accent3" w:themeTint="66"/>
      </w:pBdr>
      <w:spacing w:before="200" w:after="160"/>
      <w:ind w:left="360"/>
    </w:pPr>
    <w:rPr>
      <w:iCs/>
      <w:color w:val="404040" w:themeColor="text1" w:themeTint="BF"/>
    </w:rPr>
  </w:style>
  <w:style w:type="character" w:customStyle="1" w:styleId="QuoteChar">
    <w:name w:val="Quote Char"/>
    <w:aliases w:val="Blockquote Char"/>
    <w:basedOn w:val="DefaultParagraphFont"/>
    <w:link w:val="Quote"/>
    <w:uiPriority w:val="29"/>
    <w:rsid w:val="00FE4D73"/>
    <w:rPr>
      <w:rFonts w:ascii="Aptos" w:hAnsi="Aptos"/>
      <w:iCs/>
      <w:color w:val="404040" w:themeColor="text1" w:themeTint="BF"/>
      <w:sz w:val="26"/>
    </w:rPr>
  </w:style>
  <w:style w:type="paragraph" w:customStyle="1" w:styleId="Alert-type-success">
    <w:name w:val="Alert-type-success"/>
    <w:basedOn w:val="Normal"/>
    <w:link w:val="Alert-type-successChar"/>
    <w:qFormat/>
    <w:rsid w:val="007D47D5"/>
    <w:pPr>
      <w:pBdr>
        <w:top w:val="single" w:sz="8" w:space="8" w:color="467C81" w:themeColor="accent3"/>
        <w:left w:val="single" w:sz="48" w:space="8" w:color="467C81" w:themeColor="accent3"/>
        <w:bottom w:val="single" w:sz="8" w:space="8" w:color="467C81" w:themeColor="accent3"/>
        <w:right w:val="single" w:sz="8" w:space="8" w:color="467C81" w:themeColor="accent3"/>
      </w:pBdr>
      <w:shd w:val="clear" w:color="auto" w:fill="AECFD3" w:themeFill="accent3" w:themeFillTint="66"/>
      <w:ind w:left="187"/>
    </w:pPr>
    <w:rPr>
      <w:lang w:val="en-CA"/>
    </w:rPr>
  </w:style>
  <w:style w:type="paragraph" w:customStyle="1" w:styleId="Alert-type-info">
    <w:name w:val="Alert-type-info"/>
    <w:basedOn w:val="Normal"/>
    <w:link w:val="Alert-type-infoChar"/>
    <w:qFormat/>
    <w:rsid w:val="00CD5BAD"/>
    <w:pPr>
      <w:pBdr>
        <w:top w:val="single" w:sz="8" w:space="8" w:color="20393C" w:themeColor="accent6"/>
        <w:left w:val="single" w:sz="48" w:space="8" w:color="20393C" w:themeColor="accent6"/>
        <w:bottom w:val="single" w:sz="8" w:space="8" w:color="20393C" w:themeColor="accent6"/>
        <w:right w:val="single" w:sz="8" w:space="8" w:color="20393C" w:themeColor="accent6"/>
      </w:pBdr>
      <w:shd w:val="clear" w:color="auto" w:fill="E3EEF0" w:themeFill="accent6" w:themeFillTint="1A"/>
      <w:ind w:left="180"/>
    </w:pPr>
    <w:rPr>
      <w:lang w:val="en-CA"/>
    </w:rPr>
  </w:style>
  <w:style w:type="character" w:customStyle="1" w:styleId="Alert-type-successChar">
    <w:name w:val="Alert-type-success Char"/>
    <w:basedOn w:val="DefaultParagraphFont"/>
    <w:link w:val="Alert-type-success"/>
    <w:rsid w:val="007D47D5"/>
    <w:rPr>
      <w:rFonts w:ascii="Arial" w:hAnsi="Arial"/>
      <w:sz w:val="24"/>
      <w:shd w:val="clear" w:color="auto" w:fill="AECFD3" w:themeFill="accent3" w:themeFillTint="66"/>
      <w:lang w:val="en-CA"/>
    </w:rPr>
  </w:style>
  <w:style w:type="paragraph" w:customStyle="1" w:styleId="Alert-type-warning">
    <w:name w:val="Alert-type-warning"/>
    <w:basedOn w:val="Normal"/>
    <w:link w:val="Alert-type-warningChar"/>
    <w:qFormat/>
    <w:rsid w:val="00181401"/>
    <w:pPr>
      <w:pBdr>
        <w:left w:val="single" w:sz="48" w:space="8" w:color="8F5629" w:themeColor="accent2"/>
        <w:bottom w:val="single" w:sz="8" w:space="8" w:color="8F5629" w:themeColor="accent2"/>
        <w:right w:val="single" w:sz="8" w:space="8" w:color="8F5629" w:themeColor="accent2"/>
      </w:pBdr>
      <w:shd w:val="clear" w:color="auto" w:fill="E2B999" w:themeFill="accent2" w:themeFillTint="66"/>
      <w:ind w:left="180"/>
    </w:pPr>
    <w:rPr>
      <w:lang w:val="en-CA"/>
    </w:rPr>
  </w:style>
  <w:style w:type="character" w:customStyle="1" w:styleId="Alert-type-infoChar">
    <w:name w:val="Alert-type-info Char"/>
    <w:basedOn w:val="Alert-type-successChar"/>
    <w:link w:val="Alert-type-info"/>
    <w:rsid w:val="00CD5BAD"/>
    <w:rPr>
      <w:rFonts w:ascii="Aptos" w:hAnsi="Aptos"/>
      <w:sz w:val="26"/>
      <w:shd w:val="clear" w:color="auto" w:fill="E3EEF0" w:themeFill="accent6" w:themeFillTint="1A"/>
      <w:lang w:val="en-CA"/>
    </w:rPr>
  </w:style>
  <w:style w:type="paragraph" w:customStyle="1" w:styleId="Alert-type-danger">
    <w:name w:val="Alert-type-danger"/>
    <w:basedOn w:val="Normal"/>
    <w:link w:val="Alert-type-dangerChar"/>
    <w:qFormat/>
    <w:rsid w:val="008C3A80"/>
    <w:pPr>
      <w:pBdr>
        <w:left w:val="single" w:sz="48" w:space="8" w:color="3A5A88" w:themeColor="accent1"/>
        <w:bottom w:val="single" w:sz="8" w:space="8" w:color="3A5A88" w:themeColor="accent1"/>
        <w:right w:val="single" w:sz="8" w:space="8" w:color="3A5A88" w:themeColor="accent1"/>
      </w:pBdr>
      <w:shd w:val="clear" w:color="auto" w:fill="D2DCEC" w:themeFill="accent1" w:themeFillTint="33"/>
      <w:ind w:left="187"/>
    </w:pPr>
    <w:rPr>
      <w:lang w:val="en-CA"/>
    </w:rPr>
  </w:style>
  <w:style w:type="character" w:customStyle="1" w:styleId="Alert-type-warningChar">
    <w:name w:val="Alert-type-warning Char"/>
    <w:basedOn w:val="Alert-type-infoChar"/>
    <w:link w:val="Alert-type-warning"/>
    <w:rsid w:val="00181401"/>
    <w:rPr>
      <w:rFonts w:ascii="Aptos" w:hAnsi="Aptos"/>
      <w:sz w:val="26"/>
      <w:shd w:val="clear" w:color="auto" w:fill="E2B999" w:themeFill="accent2" w:themeFillTint="66"/>
      <w:lang w:val="en-CA"/>
    </w:rPr>
  </w:style>
  <w:style w:type="character" w:customStyle="1" w:styleId="Alert-type-dangerChar">
    <w:name w:val="Alert-type-danger Char"/>
    <w:basedOn w:val="Alert-type-infoChar"/>
    <w:link w:val="Alert-type-danger"/>
    <w:rsid w:val="008C3A80"/>
    <w:rPr>
      <w:rFonts w:ascii="Aptos" w:hAnsi="Aptos"/>
      <w:sz w:val="26"/>
      <w:shd w:val="clear" w:color="auto" w:fill="D2DCEC" w:themeFill="accent1" w:themeFillTint="33"/>
      <w:lang w:val="en-CA"/>
    </w:rPr>
  </w:style>
  <w:style w:type="paragraph" w:customStyle="1" w:styleId="KeyboardKey">
    <w:name w:val="Keyboard Key"/>
    <w:basedOn w:val="Normal"/>
    <w:link w:val="KeyboardKeyChar"/>
    <w:qFormat/>
    <w:rsid w:val="005151BD"/>
    <w:pPr>
      <w:shd w:val="clear" w:color="auto" w:fill="000000" w:themeFill="text1"/>
    </w:pPr>
    <w:rPr>
      <w:rFonts w:ascii="Courier New" w:hAnsi="Courier New"/>
      <w:b/>
      <w:bCs/>
      <w:color w:val="FFFFFF" w:themeColor="background1"/>
      <w:bdr w:val="single" w:sz="2" w:space="0" w:color="000000" w:themeColor="text1"/>
      <w:shd w:val="clear" w:color="auto" w:fill="000000" w:themeFill="text1"/>
    </w:rPr>
  </w:style>
  <w:style w:type="character" w:customStyle="1" w:styleId="KeyboardKeyChar">
    <w:name w:val="Keyboard Key Char"/>
    <w:basedOn w:val="DefaultParagraphFont"/>
    <w:link w:val="KeyboardKey"/>
    <w:rsid w:val="005151BD"/>
    <w:rPr>
      <w:rFonts w:ascii="Courier New" w:hAnsi="Courier New"/>
      <w:b/>
      <w:bCs/>
      <w:color w:val="FFFFFF" w:themeColor="background1"/>
      <w:bdr w:val="single" w:sz="2" w:space="0" w:color="000000" w:themeColor="text1"/>
      <w:shd w:val="clear" w:color="auto" w:fill="000000" w:themeFill="text1"/>
    </w:rPr>
  </w:style>
  <w:style w:type="paragraph" w:customStyle="1" w:styleId="ExpandHideHeader">
    <w:name w:val="Expand Hide Header"/>
    <w:basedOn w:val="PanelTitle"/>
    <w:link w:val="ExpandHideHeaderChar"/>
    <w:rsid w:val="00872D04"/>
    <w:pPr>
      <w:numPr>
        <w:numId w:val="1"/>
      </w:numPr>
      <w:shd w:val="clear" w:color="auto" w:fill="auto"/>
      <w:spacing w:before="0"/>
      <w:ind w:left="360"/>
    </w:pPr>
    <w:rPr>
      <w:lang w:val="en-CA"/>
    </w:rPr>
  </w:style>
  <w:style w:type="paragraph" w:customStyle="1" w:styleId="ExpandHideContent">
    <w:name w:val="Expand Hide Content"/>
    <w:basedOn w:val="PanelBody"/>
    <w:link w:val="ExpandHideContentChar"/>
    <w:rsid w:val="00872D04"/>
    <w:pPr>
      <w:spacing w:after="0"/>
    </w:pPr>
    <w:rPr>
      <w:lang w:val="en-CA"/>
    </w:rPr>
  </w:style>
  <w:style w:type="character" w:customStyle="1" w:styleId="ExpandHideHeaderChar">
    <w:name w:val="Expand Hide Header Char"/>
    <w:basedOn w:val="PanelTitleChar"/>
    <w:link w:val="ExpandHideHeader"/>
    <w:rsid w:val="00872D04"/>
    <w:rPr>
      <w:rFonts w:ascii="Aptos SemiBold" w:hAnsi="Aptos SemiBold"/>
      <w:b/>
      <w:sz w:val="32"/>
      <w:shd w:val="clear" w:color="auto" w:fill="F2F2F2" w:themeFill="background1" w:themeFillShade="F2"/>
      <w:lang w:val="en-CA"/>
    </w:rPr>
  </w:style>
  <w:style w:type="table" w:styleId="TableGrid">
    <w:name w:val="Table Grid"/>
    <w:basedOn w:val="TableNormal"/>
    <w:uiPriority w:val="39"/>
    <w:rsid w:val="002D3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HideContentChar">
    <w:name w:val="Expand Hide Content Char"/>
    <w:basedOn w:val="PanelBodyChar"/>
    <w:link w:val="ExpandHideContent"/>
    <w:rsid w:val="00872D04"/>
    <w:rPr>
      <w:rFonts w:ascii="Arial" w:hAnsi="Arial"/>
      <w:lang w:val="en-CA"/>
    </w:rPr>
  </w:style>
  <w:style w:type="paragraph" w:styleId="FootnoteText">
    <w:name w:val="footnote text"/>
    <w:basedOn w:val="Normal"/>
    <w:link w:val="FootnoteTextChar"/>
    <w:uiPriority w:val="99"/>
    <w:semiHidden/>
    <w:unhideWhenUsed/>
    <w:rsid w:val="004137B4"/>
    <w:pPr>
      <w:spacing w:after="0" w:line="312" w:lineRule="auto"/>
    </w:pPr>
    <w:rPr>
      <w:szCs w:val="20"/>
    </w:rPr>
  </w:style>
  <w:style w:type="character" w:customStyle="1" w:styleId="FootnoteTextChar">
    <w:name w:val="Footnote Text Char"/>
    <w:basedOn w:val="DefaultParagraphFont"/>
    <w:link w:val="FootnoteText"/>
    <w:uiPriority w:val="99"/>
    <w:semiHidden/>
    <w:rsid w:val="004137B4"/>
    <w:rPr>
      <w:rFonts w:ascii="Arial" w:hAnsi="Arial"/>
      <w:sz w:val="24"/>
      <w:szCs w:val="20"/>
    </w:rPr>
  </w:style>
  <w:style w:type="character" w:styleId="FootnoteReference">
    <w:name w:val="footnote reference"/>
    <w:basedOn w:val="DefaultParagraphFont"/>
    <w:uiPriority w:val="99"/>
    <w:semiHidden/>
    <w:unhideWhenUsed/>
    <w:rsid w:val="00A61E2A"/>
    <w:rPr>
      <w:vertAlign w:val="superscript"/>
    </w:rPr>
  </w:style>
  <w:style w:type="paragraph" w:styleId="EndnoteText">
    <w:name w:val="endnote text"/>
    <w:basedOn w:val="Normal"/>
    <w:link w:val="EndnoteTextChar"/>
    <w:uiPriority w:val="99"/>
    <w:semiHidden/>
    <w:unhideWhenUsed/>
    <w:rsid w:val="00A61E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1E2A"/>
    <w:rPr>
      <w:rFonts w:ascii="Arial" w:hAnsi="Arial"/>
      <w:sz w:val="20"/>
      <w:szCs w:val="20"/>
    </w:rPr>
  </w:style>
  <w:style w:type="character" w:styleId="EndnoteReference">
    <w:name w:val="endnote reference"/>
    <w:basedOn w:val="DefaultParagraphFont"/>
    <w:uiPriority w:val="99"/>
    <w:semiHidden/>
    <w:unhideWhenUsed/>
    <w:rsid w:val="00A61E2A"/>
    <w:rPr>
      <w:vertAlign w:val="superscript"/>
    </w:rPr>
  </w:style>
  <w:style w:type="table" w:customStyle="1" w:styleId="WebTable">
    <w:name w:val="Web Table"/>
    <w:basedOn w:val="TableNormal"/>
    <w:uiPriority w:val="99"/>
    <w:rsid w:val="00904759"/>
    <w:pPr>
      <w:spacing w:before="120" w:after="240" w:line="300" w:lineRule="auto"/>
    </w:pPr>
    <w:rPr>
      <w:rFonts w:ascii="Aptos" w:hAnsi="Aptos"/>
    </w:rPr>
    <w:tblPr>
      <w:tblStyleRowBandSize w:val="1"/>
      <w:tblBorders>
        <w:insideH w:val="single" w:sz="2" w:space="0" w:color="808080" w:themeColor="background1" w:themeShade="80"/>
      </w:tblBorders>
    </w:tblPr>
    <w:trPr>
      <w:tblHeader/>
    </w:trPr>
    <w:tcPr>
      <w:vAlign w:val="center"/>
    </w:tcPr>
    <w:tblStylePr w:type="firstRow">
      <w:rPr>
        <w:rFonts w:ascii="Arial" w:hAnsi="Arial"/>
        <w:b/>
        <w:sz w:val="22"/>
      </w:rPr>
      <w:tblPr/>
      <w:tcPr>
        <w:tcBorders>
          <w:top w:val="nil"/>
          <w:left w:val="nil"/>
          <w:bottom w:val="single" w:sz="18" w:space="0" w:color="A6A6A6" w:themeColor="background1" w:themeShade="A6"/>
          <w:right w:val="nil"/>
          <w:insideH w:val="nil"/>
          <w:insideV w:val="nil"/>
          <w:tl2br w:val="nil"/>
          <w:tr2bl w:val="nil"/>
        </w:tcBorders>
      </w:tcPr>
    </w:tblStylePr>
    <w:tblStylePr w:type="firstCol">
      <w:rPr>
        <w:b/>
      </w:rPr>
    </w:tblStylePr>
  </w:style>
  <w:style w:type="paragraph" w:customStyle="1" w:styleId="TableCaption">
    <w:name w:val="Table Caption"/>
    <w:basedOn w:val="Heading4"/>
    <w:link w:val="TableCaptionChar"/>
    <w:qFormat/>
    <w:rsid w:val="00791CA9"/>
    <w:rPr>
      <w:color w:val="595959" w:themeColor="text1" w:themeTint="A6"/>
      <w:lang w:val="en-CA"/>
    </w:rPr>
  </w:style>
  <w:style w:type="paragraph" w:styleId="Title">
    <w:name w:val="Title"/>
    <w:aliases w:val="Table caption"/>
    <w:basedOn w:val="Normal"/>
    <w:next w:val="Normal"/>
    <w:link w:val="TitleChar"/>
    <w:uiPriority w:val="10"/>
    <w:qFormat/>
    <w:rsid w:val="00F2195E"/>
    <w:pPr>
      <w:keepNext/>
      <w:spacing w:line="288" w:lineRule="auto"/>
      <w:contextualSpacing/>
    </w:pPr>
    <w:rPr>
      <w:rFonts w:eastAsiaTheme="majorEastAsia" w:cstheme="majorBidi"/>
      <w:b/>
      <w:spacing w:val="2"/>
      <w:kern w:val="28"/>
      <w:szCs w:val="56"/>
    </w:rPr>
  </w:style>
  <w:style w:type="character" w:customStyle="1" w:styleId="TableCaptionChar">
    <w:name w:val="Table Caption Char"/>
    <w:basedOn w:val="Heading4Char"/>
    <w:link w:val="TableCaption"/>
    <w:rsid w:val="00791CA9"/>
    <w:rPr>
      <w:rFonts w:ascii="Arial" w:eastAsiaTheme="majorEastAsia" w:hAnsi="Arial" w:cstheme="majorBidi"/>
      <w:b w:val="0"/>
      <w:color w:val="595959" w:themeColor="text1" w:themeTint="A6"/>
      <w:sz w:val="24"/>
      <w:szCs w:val="24"/>
      <w:lang w:val="en-CA"/>
    </w:rPr>
  </w:style>
  <w:style w:type="character" w:customStyle="1" w:styleId="TitleChar">
    <w:name w:val="Title Char"/>
    <w:aliases w:val="Table caption Char"/>
    <w:basedOn w:val="DefaultParagraphFont"/>
    <w:link w:val="Title"/>
    <w:uiPriority w:val="10"/>
    <w:rsid w:val="00F2195E"/>
    <w:rPr>
      <w:rFonts w:ascii="Aptos" w:eastAsiaTheme="majorEastAsia" w:hAnsi="Aptos" w:cstheme="majorBidi"/>
      <w:b/>
      <w:spacing w:val="2"/>
      <w:kern w:val="28"/>
      <w:sz w:val="26"/>
      <w:szCs w:val="56"/>
    </w:rPr>
  </w:style>
  <w:style w:type="character" w:customStyle="1" w:styleId="Heading5Char">
    <w:name w:val="Heading 5 Char"/>
    <w:basedOn w:val="DefaultParagraphFont"/>
    <w:link w:val="Heading5"/>
    <w:uiPriority w:val="9"/>
    <w:rsid w:val="000C0F87"/>
    <w:rPr>
      <w:rFonts w:ascii="Aptos SemiBold" w:eastAsiaTheme="majorEastAsia" w:hAnsi="Aptos SemiBold" w:cstheme="majorBidi"/>
      <w:b/>
      <w:sz w:val="28"/>
    </w:rPr>
  </w:style>
  <w:style w:type="character" w:customStyle="1" w:styleId="Heading6Char">
    <w:name w:val="Heading 6 Char"/>
    <w:basedOn w:val="DefaultParagraphFont"/>
    <w:link w:val="Heading6"/>
    <w:uiPriority w:val="9"/>
    <w:rsid w:val="0091492E"/>
    <w:rPr>
      <w:rFonts w:ascii="Aptos" w:eastAsiaTheme="majorEastAsia" w:hAnsi="Aptos" w:cstheme="majorBidi"/>
      <w:b/>
      <w:sz w:val="26"/>
    </w:rPr>
  </w:style>
  <w:style w:type="character" w:customStyle="1" w:styleId="Heading7Char">
    <w:name w:val="Heading 7 Char"/>
    <w:basedOn w:val="DefaultParagraphFont"/>
    <w:link w:val="Heading7"/>
    <w:uiPriority w:val="9"/>
    <w:rsid w:val="0091492E"/>
    <w:rPr>
      <w:rFonts w:ascii="Aptos SemiBold" w:eastAsiaTheme="majorEastAsia" w:hAnsi="Aptos SemiBold" w:cstheme="majorBidi"/>
      <w:iCs/>
      <w:sz w:val="26"/>
    </w:rPr>
  </w:style>
  <w:style w:type="character" w:customStyle="1" w:styleId="Heading8Char">
    <w:name w:val="Heading 8 Char"/>
    <w:basedOn w:val="DefaultParagraphFont"/>
    <w:link w:val="Heading8"/>
    <w:uiPriority w:val="9"/>
    <w:semiHidden/>
    <w:rsid w:val="00C40E75"/>
    <w:rPr>
      <w:rFonts w:ascii="Arial" w:eastAsiaTheme="majorEastAsia" w:hAnsi="Arial" w:cstheme="majorBidi"/>
      <w:b/>
      <w:color w:val="272727" w:themeColor="text1" w:themeTint="D8"/>
      <w:szCs w:val="21"/>
    </w:rPr>
  </w:style>
  <w:style w:type="table" w:styleId="GridTable2">
    <w:name w:val="Grid Table 2"/>
    <w:basedOn w:val="TableNormal"/>
    <w:uiPriority w:val="47"/>
    <w:rsid w:val="004A0F8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nel-blue">
    <w:name w:val="Panel-blue"/>
    <w:basedOn w:val="IntenseQuote"/>
    <w:link w:val="Panel-blueChar"/>
    <w:qFormat/>
    <w:rsid w:val="00FE4D73"/>
    <w:pPr>
      <w:pBdr>
        <w:left w:val="single" w:sz="8" w:space="8" w:color="3A5A88" w:themeColor="accent1"/>
        <w:bottom w:val="single" w:sz="8" w:space="8" w:color="3A5A88" w:themeColor="accent1"/>
        <w:right w:val="single" w:sz="8" w:space="8" w:color="3A5A88" w:themeColor="accent1"/>
      </w:pBdr>
      <w:shd w:val="clear" w:color="auto" w:fill="auto"/>
    </w:pPr>
  </w:style>
  <w:style w:type="paragraph" w:customStyle="1" w:styleId="Panel-Orange-brown">
    <w:name w:val="Panel-Orange-brown"/>
    <w:basedOn w:val="PanelNoTitle"/>
    <w:link w:val="Panel-Orange-brownCar"/>
    <w:qFormat/>
    <w:rsid w:val="00FE4D73"/>
    <w:pPr>
      <w:pBdr>
        <w:left w:val="single" w:sz="8" w:space="8" w:color="8F5629" w:themeColor="accent2"/>
        <w:bottom w:val="single" w:sz="8" w:space="8" w:color="8F5629" w:themeColor="accent2"/>
        <w:right w:val="single" w:sz="8" w:space="8" w:color="8F5629" w:themeColor="accent2"/>
      </w:pBdr>
      <w:spacing w:before="240"/>
    </w:pPr>
  </w:style>
  <w:style w:type="character" w:customStyle="1" w:styleId="Panel-blueChar">
    <w:name w:val="Panel-blue Char"/>
    <w:basedOn w:val="IntenseQuoteChar"/>
    <w:link w:val="Panel-blue"/>
    <w:rsid w:val="00FE4D73"/>
    <w:rPr>
      <w:rFonts w:ascii="Aptos" w:hAnsi="Aptos"/>
      <w:iCs/>
      <w:color w:val="000000" w:themeColor="text1"/>
      <w:sz w:val="26"/>
      <w:shd w:val="clear" w:color="auto" w:fill="F2F2F2" w:themeFill="background1" w:themeFillShade="F2"/>
      <w:lang w:val="en-CA"/>
    </w:rPr>
  </w:style>
  <w:style w:type="paragraph" w:customStyle="1" w:styleId="Panel-green">
    <w:name w:val="Panel-green"/>
    <w:basedOn w:val="Panel-blue"/>
    <w:link w:val="Panel-greenChar"/>
    <w:qFormat/>
    <w:rsid w:val="0051367A"/>
    <w:pPr>
      <w:pBdr>
        <w:left w:val="single" w:sz="8" w:space="8" w:color="467C81" w:themeColor="accent3"/>
        <w:bottom w:val="single" w:sz="8" w:space="8" w:color="467C81" w:themeColor="accent3"/>
        <w:right w:val="single" w:sz="8" w:space="8" w:color="467C81" w:themeColor="accent3"/>
      </w:pBdr>
    </w:pPr>
  </w:style>
  <w:style w:type="character" w:customStyle="1" w:styleId="Panel-Orange-brownCar">
    <w:name w:val="Panel-Orange-brown Car"/>
    <w:basedOn w:val="PanelNoTitleChar"/>
    <w:link w:val="Panel-Orange-brown"/>
    <w:rsid w:val="00FE4D73"/>
    <w:rPr>
      <w:rFonts w:ascii="Aptos" w:hAnsi="Aptos"/>
      <w:sz w:val="26"/>
      <w:lang w:val="en-CA"/>
    </w:rPr>
  </w:style>
  <w:style w:type="character" w:customStyle="1" w:styleId="Panel-greenChar">
    <w:name w:val="Panel-green Char"/>
    <w:basedOn w:val="Panel-blueChar"/>
    <w:link w:val="Panel-green"/>
    <w:rsid w:val="0051367A"/>
    <w:rPr>
      <w:rFonts w:ascii="Aptos" w:hAnsi="Aptos"/>
      <w:iCs/>
      <w:color w:val="000000" w:themeColor="text1"/>
      <w:sz w:val="26"/>
      <w:shd w:val="clear" w:color="auto" w:fill="F2F2F2" w:themeFill="background1" w:themeFillShade="F2"/>
      <w:lang w:val="en-CA"/>
    </w:rPr>
  </w:style>
  <w:style w:type="paragraph" w:styleId="Subtitle">
    <w:name w:val="Subtitle"/>
    <w:basedOn w:val="Normal"/>
    <w:next w:val="Normal"/>
    <w:link w:val="SubtitleChar"/>
    <w:uiPriority w:val="11"/>
    <w:qFormat/>
    <w:rsid w:val="00014054"/>
    <w:pPr>
      <w:numPr>
        <w:ilvl w:val="1"/>
      </w:numPr>
      <w:spacing w:after="160"/>
    </w:pPr>
    <w:rPr>
      <w:rFonts w:eastAsiaTheme="minorEastAsia"/>
      <w:color w:val="0D0D0D" w:themeColor="text1" w:themeTint="F2"/>
      <w:sz w:val="36"/>
      <w:lang w:val="en-CA"/>
    </w:rPr>
  </w:style>
  <w:style w:type="character" w:customStyle="1" w:styleId="SubtitleChar">
    <w:name w:val="Subtitle Char"/>
    <w:basedOn w:val="DefaultParagraphFont"/>
    <w:link w:val="Subtitle"/>
    <w:uiPriority w:val="11"/>
    <w:rsid w:val="00014054"/>
    <w:rPr>
      <w:rFonts w:ascii="Arial" w:eastAsiaTheme="minorEastAsia" w:hAnsi="Arial"/>
      <w:color w:val="0D0D0D" w:themeColor="text1" w:themeTint="F2"/>
      <w:sz w:val="36"/>
      <w:lang w:val="en-CA"/>
    </w:rPr>
  </w:style>
  <w:style w:type="paragraph" w:customStyle="1" w:styleId="DateDetails">
    <w:name w:val="DateDetails"/>
    <w:basedOn w:val="Subtitle"/>
    <w:qFormat/>
    <w:rsid w:val="001402DB"/>
    <w:pPr>
      <w:spacing w:before="320"/>
    </w:pPr>
    <w:rPr>
      <w:color w:val="595959" w:themeColor="text1" w:themeTint="A6"/>
      <w:sz w:val="28"/>
      <w:szCs w:val="18"/>
    </w:rPr>
  </w:style>
  <w:style w:type="paragraph" w:customStyle="1" w:styleId="ToCbody">
    <w:name w:val="ToC body"/>
    <w:basedOn w:val="PanelBody"/>
    <w:qFormat/>
    <w:rsid w:val="0041124E"/>
    <w:pPr>
      <w:pBdr>
        <w:left w:val="none" w:sz="0" w:space="0" w:color="auto"/>
        <w:bottom w:val="none" w:sz="0" w:space="0" w:color="auto"/>
        <w:right w:val="none" w:sz="0" w:space="0" w:color="auto"/>
      </w:pBdr>
      <w:spacing w:before="120" w:after="0" w:line="312" w:lineRule="auto"/>
    </w:pPr>
    <w:rPr>
      <w:sz w:val="22"/>
      <w:lang w:val="en-CA"/>
    </w:rPr>
  </w:style>
  <w:style w:type="paragraph" w:customStyle="1" w:styleId="ToChead">
    <w:name w:val="ToC head"/>
    <w:basedOn w:val="PanelTitle"/>
    <w:qFormat/>
    <w:rsid w:val="0041124E"/>
    <w:pPr>
      <w:pBdr>
        <w:top w:val="none" w:sz="0" w:space="0" w:color="auto"/>
        <w:left w:val="none" w:sz="0" w:space="0" w:color="auto"/>
        <w:bottom w:val="single" w:sz="4" w:space="2" w:color="595959" w:themeColor="text1" w:themeTint="A6"/>
        <w:right w:val="none" w:sz="0" w:space="0" w:color="auto"/>
      </w:pBdr>
      <w:shd w:val="clear" w:color="auto" w:fill="FFFFFF" w:themeFill="background1"/>
    </w:pPr>
    <w:rPr>
      <w:lang w:val="en-CA"/>
    </w:rPr>
  </w:style>
  <w:style w:type="paragraph" w:customStyle="1" w:styleId="Tablebody">
    <w:name w:val="Table body"/>
    <w:basedOn w:val="Normal"/>
    <w:qFormat/>
    <w:rsid w:val="0041124E"/>
    <w:pPr>
      <w:spacing w:before="120" w:after="0"/>
    </w:pPr>
    <w:rPr>
      <w:lang w:val="en-CA"/>
    </w:rPr>
  </w:style>
  <w:style w:type="paragraph" w:customStyle="1" w:styleId="Tablehead">
    <w:name w:val="Table head"/>
    <w:basedOn w:val="Normal"/>
    <w:qFormat/>
    <w:rsid w:val="00181401"/>
    <w:pPr>
      <w:spacing w:before="120" w:after="0"/>
    </w:pPr>
    <w:rPr>
      <w:rFonts w:ascii="Aptos SemiBold" w:hAnsi="Aptos SemiBold"/>
      <w:b/>
      <w:color w:val="FFFFFF" w:themeColor="background1"/>
      <w:lang w:val="en-CA"/>
    </w:rPr>
  </w:style>
  <w:style w:type="character" w:styleId="FollowedHyperlink">
    <w:name w:val="FollowedHyperlink"/>
    <w:basedOn w:val="DefaultParagraphFont"/>
    <w:uiPriority w:val="99"/>
    <w:semiHidden/>
    <w:unhideWhenUsed/>
    <w:rsid w:val="00C804A3"/>
    <w:rPr>
      <w:color w:val="954F72" w:themeColor="followedHyperlink"/>
      <w:u w:val="single"/>
    </w:rPr>
  </w:style>
  <w:style w:type="character" w:customStyle="1" w:styleId="ListParagraphChar">
    <w:name w:val="List Paragraph Char"/>
    <w:aliases w:val="Dot pt Char,Liste 1 Char,F5 List Paragraph Char,List Paragraph Char Char Char Char,Indicator Text Char,Numbered Para 1 Char,Bullet 1 Char,Bullet Points Char,List Paragraph2 Char,MAIN CONTENT Char,Normal numbered Char,CV text Char"/>
    <w:link w:val="ListParagraph"/>
    <w:uiPriority w:val="34"/>
    <w:qFormat/>
    <w:locked/>
    <w:rsid w:val="00E743B0"/>
    <w:rPr>
      <w:rFonts w:ascii="Aptos" w:hAnsi="Aptos"/>
      <w:sz w:val="26"/>
      <w:lang w:val="en-CA"/>
    </w:rPr>
  </w:style>
  <w:style w:type="character" w:customStyle="1" w:styleId="ui-provider">
    <w:name w:val="ui-provider"/>
    <w:basedOn w:val="DefaultParagraphFont"/>
    <w:rsid w:val="003D2075"/>
  </w:style>
  <w:style w:type="paragraph" w:styleId="ListBullet">
    <w:name w:val="List Bullet"/>
    <w:basedOn w:val="Normal"/>
    <w:uiPriority w:val="99"/>
    <w:unhideWhenUsed/>
    <w:rsid w:val="009A6843"/>
    <w:pPr>
      <w:numPr>
        <w:numId w:val="3"/>
      </w:numPr>
      <w:contextualSpacing/>
    </w:pPr>
  </w:style>
  <w:style w:type="character" w:styleId="Strong">
    <w:name w:val="Strong"/>
    <w:basedOn w:val="DefaultParagraphFont"/>
    <w:uiPriority w:val="22"/>
    <w:qFormat/>
    <w:locked/>
    <w:rsid w:val="009A6843"/>
    <w:rPr>
      <w:b/>
      <w:bCs/>
    </w:rPr>
  </w:style>
  <w:style w:type="paragraph" w:customStyle="1" w:styleId="IntrotoList">
    <w:name w:val="Intro to List"/>
    <w:basedOn w:val="Normal"/>
    <w:qFormat/>
    <w:rsid w:val="006361A3"/>
    <w:pPr>
      <w:spacing w:before="120" w:after="0"/>
    </w:pPr>
    <w:rPr>
      <w:lang w:val="en-CA"/>
    </w:rPr>
  </w:style>
  <w:style w:type="table" w:customStyle="1" w:styleId="Style1">
    <w:name w:val="Style1"/>
    <w:basedOn w:val="TableNormal"/>
    <w:uiPriority w:val="99"/>
    <w:rsid w:val="006361A3"/>
    <w:pPr>
      <w:spacing w:before="120" w:after="120" w:line="240" w:lineRule="auto"/>
    </w:pPr>
    <w:rPr>
      <w:rFonts w:ascii="Aptos" w:hAnsi="Aptos"/>
    </w:rPr>
    <w:tblPr>
      <w:tblBorders>
        <w:top w:val="single" w:sz="18" w:space="0" w:color="3A5A88" w:themeColor="accent1"/>
        <w:bottom w:val="single" w:sz="18" w:space="0" w:color="3A5A88" w:themeColor="accent1"/>
        <w:insideH w:val="single" w:sz="8" w:space="0" w:color="3A5A88" w:themeColor="accent1"/>
      </w:tblBorders>
    </w:tblPr>
    <w:trPr>
      <w:tblHeader/>
    </w:trPr>
    <w:tcPr>
      <w:vAlign w:val="center"/>
    </w:tcPr>
  </w:style>
  <w:style w:type="table" w:styleId="ListTable3-Accent5">
    <w:name w:val="List Table 3 Accent 5"/>
    <w:basedOn w:val="TableNormal"/>
    <w:uiPriority w:val="48"/>
    <w:rsid w:val="00AB3CEE"/>
    <w:pPr>
      <w:spacing w:after="0" w:line="240" w:lineRule="auto"/>
    </w:pPr>
    <w:tblPr>
      <w:tblStyleRowBandSize w:val="1"/>
      <w:tblStyleColBandSize w:val="1"/>
      <w:tblBorders>
        <w:top w:val="single" w:sz="4" w:space="0" w:color="6175AE" w:themeColor="accent5"/>
        <w:left w:val="single" w:sz="4" w:space="0" w:color="6175AE" w:themeColor="accent5"/>
        <w:bottom w:val="single" w:sz="4" w:space="0" w:color="6175AE" w:themeColor="accent5"/>
        <w:right w:val="single" w:sz="4" w:space="0" w:color="6175AE" w:themeColor="accent5"/>
      </w:tblBorders>
    </w:tblPr>
    <w:tblStylePr w:type="firstRow">
      <w:rPr>
        <w:b/>
        <w:bCs/>
        <w:color w:val="FFFFFF" w:themeColor="background1"/>
      </w:rPr>
      <w:tblPr/>
      <w:tcPr>
        <w:shd w:val="clear" w:color="auto" w:fill="6175AE" w:themeFill="accent5"/>
      </w:tcPr>
    </w:tblStylePr>
    <w:tblStylePr w:type="lastRow">
      <w:rPr>
        <w:b/>
        <w:bCs/>
      </w:rPr>
      <w:tblPr/>
      <w:tcPr>
        <w:tcBorders>
          <w:top w:val="double" w:sz="4" w:space="0" w:color="6175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75AE" w:themeColor="accent5"/>
          <w:right w:val="single" w:sz="4" w:space="0" w:color="6175AE" w:themeColor="accent5"/>
        </w:tcBorders>
      </w:tcPr>
    </w:tblStylePr>
    <w:tblStylePr w:type="band1Horz">
      <w:tblPr/>
      <w:tcPr>
        <w:tcBorders>
          <w:top w:val="single" w:sz="4" w:space="0" w:color="6175AE" w:themeColor="accent5"/>
          <w:bottom w:val="single" w:sz="4" w:space="0" w:color="6175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75AE" w:themeColor="accent5"/>
          <w:left w:val="nil"/>
        </w:tcBorders>
      </w:tcPr>
    </w:tblStylePr>
    <w:tblStylePr w:type="swCell">
      <w:tblPr/>
      <w:tcPr>
        <w:tcBorders>
          <w:top w:val="double" w:sz="4" w:space="0" w:color="6175AE" w:themeColor="accent5"/>
          <w:right w:val="nil"/>
        </w:tcBorders>
      </w:tcPr>
    </w:tblStylePr>
  </w:style>
  <w:style w:type="paragraph" w:customStyle="1" w:styleId="BoxheadingWarning">
    <w:name w:val="Box heading Warning"/>
    <w:basedOn w:val="Normal"/>
    <w:qFormat/>
    <w:rsid w:val="008C3A80"/>
    <w:pPr>
      <w:pBdr>
        <w:top w:val="single" w:sz="8" w:space="8" w:color="8F5629" w:themeColor="accent2"/>
        <w:left w:val="single" w:sz="48" w:space="8" w:color="8F5629" w:themeColor="accent2"/>
        <w:right w:val="single" w:sz="8" w:space="8" w:color="8F5629" w:themeColor="accent2"/>
      </w:pBdr>
      <w:shd w:val="clear" w:color="auto" w:fill="E2B999" w:themeFill="accent2" w:themeFillTint="66"/>
      <w:spacing w:before="240" w:after="0"/>
      <w:ind w:left="187"/>
    </w:pPr>
    <w:rPr>
      <w:rFonts w:ascii="Aptos Display" w:hAnsi="Aptos Display"/>
      <w:b/>
      <w:sz w:val="34"/>
    </w:rPr>
  </w:style>
  <w:style w:type="paragraph" w:customStyle="1" w:styleId="BoxheadingDanger">
    <w:name w:val="Box heading Danger"/>
    <w:basedOn w:val="BoxheadingWarning"/>
    <w:qFormat/>
    <w:rsid w:val="008C3A80"/>
    <w:pPr>
      <w:pBdr>
        <w:top w:val="single" w:sz="8" w:space="8" w:color="3A5A88" w:themeColor="accent1"/>
        <w:left w:val="single" w:sz="48" w:space="8" w:color="3A5A88" w:themeColor="accent1"/>
        <w:right w:val="single" w:sz="8" w:space="8" w:color="3A5A88" w:themeColor="accent1"/>
      </w:pBdr>
      <w:shd w:val="clear" w:color="auto" w:fill="D2DCEC" w:themeFill="accent1" w:themeFillTint="33"/>
    </w:pPr>
  </w:style>
  <w:style w:type="paragraph" w:customStyle="1" w:styleId="BoxheadingSuccess">
    <w:name w:val="Box heading Success"/>
    <w:basedOn w:val="BoxheadingWarning"/>
    <w:qFormat/>
    <w:rsid w:val="008C3A80"/>
    <w:pPr>
      <w:pBdr>
        <w:top w:val="single" w:sz="8" w:space="8" w:color="467C81" w:themeColor="accent3"/>
        <w:left w:val="single" w:sz="48" w:space="8" w:color="467C81" w:themeColor="accent3"/>
        <w:bottom w:val="single" w:sz="8" w:space="8" w:color="467C81" w:themeColor="accent3"/>
        <w:right w:val="single" w:sz="8" w:space="8" w:color="467C81" w:themeColor="accent3"/>
      </w:pBdr>
      <w:shd w:val="clear" w:color="auto" w:fill="AECFD3" w:themeFill="accent3" w:themeFillTint="66"/>
      <w:ind w:left="180"/>
    </w:pPr>
  </w:style>
  <w:style w:type="paragraph" w:customStyle="1" w:styleId="BoxheadingInfo">
    <w:name w:val="Box heading Info"/>
    <w:basedOn w:val="BoxheadingWarning"/>
    <w:qFormat/>
    <w:rsid w:val="00CD5BAD"/>
    <w:pPr>
      <w:pBdr>
        <w:top w:val="single" w:sz="8" w:space="8" w:color="20393C" w:themeColor="accent6"/>
        <w:left w:val="single" w:sz="48" w:space="8" w:color="20393C" w:themeColor="accent6"/>
        <w:bottom w:val="single" w:sz="8" w:space="8" w:color="20393C" w:themeColor="accent6"/>
        <w:right w:val="single" w:sz="8" w:space="8" w:color="20393C" w:themeColor="accent6"/>
      </w:pBdr>
      <w:shd w:val="clear" w:color="auto" w:fill="E3EEF0" w:themeFill="accent6" w:themeFillTint="1A"/>
      <w:tabs>
        <w:tab w:val="left" w:pos="630"/>
      </w:tabs>
      <w:ind w:left="180"/>
    </w:pPr>
  </w:style>
  <w:style w:type="paragraph" w:customStyle="1" w:styleId="Panelheadinggrey">
    <w:name w:val="Panel heading grey"/>
    <w:basedOn w:val="Normal"/>
    <w:qFormat/>
    <w:rsid w:val="00FE4D73"/>
    <w:pPr>
      <w:pBdr>
        <w:top w:val="single" w:sz="8" w:space="8" w:color="auto"/>
        <w:left w:val="single" w:sz="8" w:space="8" w:color="auto"/>
        <w:right w:val="single" w:sz="8" w:space="8" w:color="auto"/>
      </w:pBdr>
      <w:shd w:val="clear" w:color="auto" w:fill="F2F2F2" w:themeFill="background1" w:themeFillShade="F2"/>
      <w:spacing w:after="0"/>
      <w:ind w:left="187"/>
    </w:pPr>
    <w:rPr>
      <w:rFonts w:ascii="Aptos Display" w:hAnsi="Aptos Display"/>
      <w:b/>
      <w:sz w:val="34"/>
    </w:rPr>
  </w:style>
  <w:style w:type="paragraph" w:customStyle="1" w:styleId="Panelheading">
    <w:name w:val="Panel heading"/>
    <w:basedOn w:val="Panelheadinggrey"/>
    <w:qFormat/>
    <w:rsid w:val="00FE4D73"/>
    <w:pPr>
      <w:pBdr>
        <w:top w:val="single" w:sz="8" w:space="8" w:color="595959" w:themeColor="text1" w:themeTint="A6"/>
        <w:left w:val="single" w:sz="8" w:space="8" w:color="595959" w:themeColor="text1" w:themeTint="A6"/>
        <w:right w:val="single" w:sz="8" w:space="8" w:color="595959" w:themeColor="text1" w:themeTint="A6"/>
      </w:pBdr>
      <w:shd w:val="clear" w:color="auto" w:fill="auto"/>
    </w:pPr>
  </w:style>
  <w:style w:type="paragraph" w:customStyle="1" w:styleId="PanelBlueHeading">
    <w:name w:val="Panel Blue Heading"/>
    <w:basedOn w:val="Panelheading"/>
    <w:qFormat/>
    <w:rsid w:val="00FE4D73"/>
    <w:pPr>
      <w:pBdr>
        <w:top w:val="single" w:sz="8" w:space="8" w:color="3A5A88" w:themeColor="accent1"/>
        <w:left w:val="single" w:sz="8" w:space="8" w:color="3A5A88" w:themeColor="accent1"/>
        <w:right w:val="single" w:sz="8" w:space="8" w:color="3A5A88" w:themeColor="accent1"/>
      </w:pBdr>
    </w:pPr>
    <w:rPr>
      <w:color w:val="3A5A88" w:themeColor="accent1"/>
    </w:rPr>
  </w:style>
  <w:style w:type="paragraph" w:customStyle="1" w:styleId="PanelOrange-brownheading">
    <w:name w:val="Panel Orange-brown heading"/>
    <w:basedOn w:val="Panelheading"/>
    <w:qFormat/>
    <w:rsid w:val="00FE4D73"/>
    <w:pPr>
      <w:pBdr>
        <w:top w:val="single" w:sz="8" w:space="8" w:color="8F5629" w:themeColor="accent2"/>
        <w:left w:val="single" w:sz="8" w:space="8" w:color="8F5629" w:themeColor="accent2"/>
        <w:right w:val="single" w:sz="8" w:space="8" w:color="8F5629" w:themeColor="accent2"/>
      </w:pBdr>
      <w:ind w:left="180"/>
    </w:pPr>
    <w:rPr>
      <w:color w:val="8F5629" w:themeColor="accent2"/>
    </w:rPr>
  </w:style>
  <w:style w:type="paragraph" w:customStyle="1" w:styleId="PanelGreenHeading">
    <w:name w:val="Panel Green Heading"/>
    <w:basedOn w:val="Panelheading"/>
    <w:qFormat/>
    <w:rsid w:val="0051367A"/>
    <w:pPr>
      <w:pBdr>
        <w:top w:val="single" w:sz="8" w:space="8" w:color="467C81" w:themeColor="accent3"/>
        <w:left w:val="single" w:sz="8" w:space="8" w:color="467C81" w:themeColor="accent3"/>
        <w:right w:val="single" w:sz="8" w:space="8" w:color="467C81" w:themeColor="accent3"/>
      </w:pBdr>
      <w:ind w:left="180"/>
    </w:pPr>
    <w:rPr>
      <w:color w:val="467C81" w:themeColor="accent3"/>
    </w:rPr>
  </w:style>
  <w:style w:type="table" w:styleId="GridTable4-Accent1">
    <w:name w:val="Grid Table 4 Accent 1"/>
    <w:basedOn w:val="TableNormal"/>
    <w:uiPriority w:val="49"/>
    <w:rsid w:val="00CD5BAD"/>
    <w:pPr>
      <w:spacing w:after="0" w:line="240" w:lineRule="auto"/>
    </w:pPr>
    <w:tblPr>
      <w:tblStyleRowBandSize w:val="1"/>
      <w:tblStyleColBandSize w:val="1"/>
      <w:tblBorders>
        <w:top w:val="single" w:sz="4" w:space="0" w:color="7A99C6" w:themeColor="accent1" w:themeTint="99"/>
        <w:left w:val="single" w:sz="4" w:space="0" w:color="7A99C6" w:themeColor="accent1" w:themeTint="99"/>
        <w:bottom w:val="single" w:sz="4" w:space="0" w:color="7A99C6" w:themeColor="accent1" w:themeTint="99"/>
        <w:right w:val="single" w:sz="4" w:space="0" w:color="7A99C6" w:themeColor="accent1" w:themeTint="99"/>
        <w:insideH w:val="single" w:sz="4" w:space="0" w:color="7A99C6" w:themeColor="accent1" w:themeTint="99"/>
        <w:insideV w:val="single" w:sz="4" w:space="0" w:color="7A99C6" w:themeColor="accent1" w:themeTint="99"/>
      </w:tblBorders>
    </w:tblPr>
    <w:tblStylePr w:type="firstRow">
      <w:rPr>
        <w:b/>
        <w:bCs/>
        <w:color w:val="FFFFFF" w:themeColor="background1"/>
      </w:rPr>
      <w:tblPr/>
      <w:tcPr>
        <w:tcBorders>
          <w:top w:val="single" w:sz="4" w:space="0" w:color="3A5A88" w:themeColor="accent1"/>
          <w:left w:val="single" w:sz="4" w:space="0" w:color="3A5A88" w:themeColor="accent1"/>
          <w:bottom w:val="single" w:sz="4" w:space="0" w:color="3A5A88" w:themeColor="accent1"/>
          <w:right w:val="single" w:sz="4" w:space="0" w:color="3A5A88" w:themeColor="accent1"/>
          <w:insideH w:val="nil"/>
          <w:insideV w:val="nil"/>
        </w:tcBorders>
        <w:shd w:val="clear" w:color="auto" w:fill="3A5A88" w:themeFill="accent1"/>
      </w:tcPr>
    </w:tblStylePr>
    <w:tblStylePr w:type="lastRow">
      <w:rPr>
        <w:b/>
        <w:bCs/>
      </w:rPr>
      <w:tblPr/>
      <w:tcPr>
        <w:tcBorders>
          <w:top w:val="double" w:sz="4" w:space="0" w:color="3A5A88" w:themeColor="accent1"/>
        </w:tcBorders>
      </w:tcPr>
    </w:tblStylePr>
    <w:tblStylePr w:type="firstCol">
      <w:rPr>
        <w:b/>
        <w:bCs/>
      </w:rPr>
    </w:tblStylePr>
    <w:tblStylePr w:type="lastCol">
      <w:rPr>
        <w:b/>
        <w:bCs/>
      </w:rPr>
    </w:tblStylePr>
    <w:tblStylePr w:type="band1Vert">
      <w:tblPr/>
      <w:tcPr>
        <w:shd w:val="clear" w:color="auto" w:fill="D2DCEC" w:themeFill="accent1" w:themeFillTint="33"/>
      </w:tcPr>
    </w:tblStylePr>
    <w:tblStylePr w:type="band1Horz">
      <w:tblPr/>
      <w:tcPr>
        <w:shd w:val="clear" w:color="auto" w:fill="D2DCEC" w:themeFill="accent1" w:themeFillTint="33"/>
      </w:tcPr>
    </w:tblStylePr>
  </w:style>
  <w:style w:type="table" w:customStyle="1" w:styleId="RD">
    <w:name w:val="RD"/>
    <w:basedOn w:val="TableNormal"/>
    <w:uiPriority w:val="99"/>
    <w:rsid w:val="00AB3CEE"/>
    <w:pPr>
      <w:spacing w:before="120" w:after="120" w:line="240" w:lineRule="auto"/>
    </w:pPr>
    <w:rPr>
      <w:rFonts w:ascii="Aptos" w:hAnsi="Aptos"/>
      <w:sz w:val="26"/>
    </w:rPr>
    <w:tblPr>
      <w:tblBorders>
        <w:top w:val="single" w:sz="8" w:space="0" w:color="467C81" w:themeColor="accent3"/>
        <w:bottom w:val="single" w:sz="18" w:space="0" w:color="467C81" w:themeColor="accent3"/>
        <w:insideH w:val="single" w:sz="8" w:space="0" w:color="467C81" w:themeColor="accent3"/>
      </w:tblBorders>
    </w:tblPr>
    <w:tblStylePr w:type="firstRow">
      <w:pPr>
        <w:wordWrap/>
        <w:spacing w:beforeLines="0" w:before="120" w:beforeAutospacing="0" w:afterLines="0" w:after="120" w:afterAutospacing="0"/>
        <w:jc w:val="left"/>
      </w:pPr>
      <w:rPr>
        <w:rFonts w:ascii="Aptos SemiBold" w:hAnsi="Aptos SemiBold"/>
        <w:b/>
        <w:color w:val="FFFFFF" w:themeColor="background1"/>
        <w:sz w:val="32"/>
      </w:rPr>
      <w:tblPr/>
      <w:trPr>
        <w:tblHeader/>
      </w:trPr>
      <w:tcPr>
        <w:tcBorders>
          <w:top w:val="nil"/>
          <w:left w:val="nil"/>
          <w:bottom w:val="single" w:sz="8" w:space="0" w:color="467C81" w:themeColor="accent3"/>
          <w:right w:val="nil"/>
          <w:insideH w:val="nil"/>
          <w:insideV w:val="nil"/>
          <w:tl2br w:val="nil"/>
          <w:tr2bl w:val="nil"/>
        </w:tcBorders>
        <w:shd w:val="clear" w:color="auto" w:fill="467C81" w:themeFill="accent3"/>
      </w:tcPr>
    </w:tblStylePr>
    <w:tblStylePr w:type="firstCol">
      <w:tblPr/>
      <w:tcPr>
        <w:tcBorders>
          <w:top w:val="single" w:sz="8" w:space="0" w:color="467C81" w:themeColor="accent3"/>
          <w:left w:val="nil"/>
          <w:bottom w:val="single" w:sz="18" w:space="0" w:color="467C81" w:themeColor="accent3"/>
          <w:right w:val="nil"/>
          <w:insideH w:val="single" w:sz="4" w:space="0" w:color="467C81" w:themeColor="accent3"/>
          <w:insideV w:val="nil"/>
          <w:tl2br w:val="nil"/>
          <w:tr2bl w:val="nil"/>
        </w:tcBorders>
        <w:shd w:val="clear" w:color="auto" w:fill="D6E7E9" w:themeFill="accent3" w:themeFillTint="33"/>
      </w:tcPr>
    </w:tblStylePr>
  </w:style>
  <w:style w:type="paragraph" w:styleId="Caption">
    <w:name w:val="caption"/>
    <w:basedOn w:val="Normal"/>
    <w:next w:val="Normal"/>
    <w:uiPriority w:val="35"/>
    <w:unhideWhenUsed/>
    <w:qFormat/>
    <w:rsid w:val="00CD5DC0"/>
    <w:pPr>
      <w:spacing w:after="200" w:line="240" w:lineRule="auto"/>
    </w:pPr>
    <w:rPr>
      <w:i/>
      <w:iCs/>
      <w:color w:val="182741" w:themeColor="text2"/>
      <w:sz w:val="18"/>
      <w:szCs w:val="18"/>
    </w:rPr>
  </w:style>
  <w:style w:type="paragraph" w:styleId="Revision">
    <w:name w:val="Revision"/>
    <w:hidden/>
    <w:uiPriority w:val="99"/>
    <w:semiHidden/>
    <w:rsid w:val="002244BA"/>
    <w:pPr>
      <w:spacing w:after="0" w:line="240" w:lineRule="auto"/>
    </w:pPr>
    <w:rPr>
      <w:rFonts w:ascii="Aptos" w:hAnsi="Aptos"/>
      <w:sz w:val="26"/>
    </w:rPr>
  </w:style>
  <w:style w:type="paragraph" w:styleId="BalloonText">
    <w:name w:val="Balloon Text"/>
    <w:basedOn w:val="Normal"/>
    <w:link w:val="BalloonTextChar"/>
    <w:uiPriority w:val="99"/>
    <w:semiHidden/>
    <w:unhideWhenUsed/>
    <w:rsid w:val="003F46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6F9"/>
    <w:rPr>
      <w:rFonts w:ascii="Segoe UI" w:hAnsi="Segoe UI" w:cs="Segoe UI"/>
      <w:sz w:val="18"/>
      <w:szCs w:val="18"/>
    </w:rPr>
  </w:style>
  <w:style w:type="paragraph" w:styleId="PlainText">
    <w:name w:val="Plain Text"/>
    <w:basedOn w:val="Normal"/>
    <w:link w:val="PlainTextChar"/>
    <w:uiPriority w:val="99"/>
    <w:semiHidden/>
    <w:unhideWhenUsed/>
    <w:rsid w:val="000378E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378E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0327">
      <w:bodyDiv w:val="1"/>
      <w:marLeft w:val="0"/>
      <w:marRight w:val="0"/>
      <w:marTop w:val="0"/>
      <w:marBottom w:val="0"/>
      <w:divBdr>
        <w:top w:val="none" w:sz="0" w:space="0" w:color="auto"/>
        <w:left w:val="none" w:sz="0" w:space="0" w:color="auto"/>
        <w:bottom w:val="none" w:sz="0" w:space="0" w:color="auto"/>
        <w:right w:val="none" w:sz="0" w:space="0" w:color="auto"/>
      </w:divBdr>
    </w:div>
    <w:div w:id="61413500">
      <w:bodyDiv w:val="1"/>
      <w:marLeft w:val="0"/>
      <w:marRight w:val="0"/>
      <w:marTop w:val="0"/>
      <w:marBottom w:val="0"/>
      <w:divBdr>
        <w:top w:val="none" w:sz="0" w:space="0" w:color="auto"/>
        <w:left w:val="none" w:sz="0" w:space="0" w:color="auto"/>
        <w:bottom w:val="none" w:sz="0" w:space="0" w:color="auto"/>
        <w:right w:val="none" w:sz="0" w:space="0" w:color="auto"/>
      </w:divBdr>
      <w:divsChild>
        <w:div w:id="1331330050">
          <w:marLeft w:val="547"/>
          <w:marRight w:val="0"/>
          <w:marTop w:val="0"/>
          <w:marBottom w:val="0"/>
          <w:divBdr>
            <w:top w:val="none" w:sz="0" w:space="0" w:color="auto"/>
            <w:left w:val="none" w:sz="0" w:space="0" w:color="auto"/>
            <w:bottom w:val="none" w:sz="0" w:space="0" w:color="auto"/>
            <w:right w:val="none" w:sz="0" w:space="0" w:color="auto"/>
          </w:divBdr>
        </w:div>
      </w:divsChild>
    </w:div>
    <w:div w:id="335617965">
      <w:bodyDiv w:val="1"/>
      <w:marLeft w:val="0"/>
      <w:marRight w:val="0"/>
      <w:marTop w:val="0"/>
      <w:marBottom w:val="0"/>
      <w:divBdr>
        <w:top w:val="none" w:sz="0" w:space="0" w:color="auto"/>
        <w:left w:val="none" w:sz="0" w:space="0" w:color="auto"/>
        <w:bottom w:val="none" w:sz="0" w:space="0" w:color="auto"/>
        <w:right w:val="none" w:sz="0" w:space="0" w:color="auto"/>
      </w:divBdr>
    </w:div>
    <w:div w:id="1282148059">
      <w:bodyDiv w:val="1"/>
      <w:marLeft w:val="0"/>
      <w:marRight w:val="0"/>
      <w:marTop w:val="0"/>
      <w:marBottom w:val="0"/>
      <w:divBdr>
        <w:top w:val="none" w:sz="0" w:space="0" w:color="auto"/>
        <w:left w:val="none" w:sz="0" w:space="0" w:color="auto"/>
        <w:bottom w:val="none" w:sz="0" w:space="0" w:color="auto"/>
        <w:right w:val="none" w:sz="0" w:space="0" w:color="auto"/>
      </w:divBdr>
    </w:div>
    <w:div w:id="1311180540">
      <w:bodyDiv w:val="1"/>
      <w:marLeft w:val="0"/>
      <w:marRight w:val="0"/>
      <w:marTop w:val="0"/>
      <w:marBottom w:val="0"/>
      <w:divBdr>
        <w:top w:val="none" w:sz="0" w:space="0" w:color="auto"/>
        <w:left w:val="none" w:sz="0" w:space="0" w:color="auto"/>
        <w:bottom w:val="none" w:sz="0" w:space="0" w:color="auto"/>
        <w:right w:val="none" w:sz="0" w:space="0" w:color="auto"/>
      </w:divBdr>
    </w:div>
    <w:div w:id="1553881904">
      <w:bodyDiv w:val="1"/>
      <w:marLeft w:val="0"/>
      <w:marRight w:val="0"/>
      <w:marTop w:val="0"/>
      <w:marBottom w:val="0"/>
      <w:divBdr>
        <w:top w:val="none" w:sz="0" w:space="0" w:color="auto"/>
        <w:left w:val="none" w:sz="0" w:space="0" w:color="auto"/>
        <w:bottom w:val="none" w:sz="0" w:space="0" w:color="auto"/>
        <w:right w:val="none" w:sz="0" w:space="0" w:color="auto"/>
      </w:divBdr>
      <w:divsChild>
        <w:div w:id="338777356">
          <w:marLeft w:val="547"/>
          <w:marRight w:val="0"/>
          <w:marTop w:val="0"/>
          <w:marBottom w:val="0"/>
          <w:divBdr>
            <w:top w:val="none" w:sz="0" w:space="0" w:color="auto"/>
            <w:left w:val="none" w:sz="0" w:space="0" w:color="auto"/>
            <w:bottom w:val="none" w:sz="0" w:space="0" w:color="auto"/>
            <w:right w:val="none" w:sz="0" w:space="0" w:color="auto"/>
          </w:divBdr>
        </w:div>
      </w:divsChild>
    </w:div>
    <w:div w:id="1938126018">
      <w:bodyDiv w:val="1"/>
      <w:marLeft w:val="0"/>
      <w:marRight w:val="0"/>
      <w:marTop w:val="0"/>
      <w:marBottom w:val="0"/>
      <w:divBdr>
        <w:top w:val="none" w:sz="0" w:space="0" w:color="auto"/>
        <w:left w:val="none" w:sz="0" w:space="0" w:color="auto"/>
        <w:bottom w:val="none" w:sz="0" w:space="0" w:color="auto"/>
        <w:right w:val="none" w:sz="0" w:space="0" w:color="auto"/>
      </w:divBdr>
      <w:divsChild>
        <w:div w:id="711275073">
          <w:marLeft w:val="547"/>
          <w:marRight w:val="0"/>
          <w:marTop w:val="0"/>
          <w:marBottom w:val="0"/>
          <w:divBdr>
            <w:top w:val="none" w:sz="0" w:space="0" w:color="auto"/>
            <w:left w:val="none" w:sz="0" w:space="0" w:color="auto"/>
            <w:bottom w:val="none" w:sz="0" w:space="0" w:color="auto"/>
            <w:right w:val="none" w:sz="0" w:space="0" w:color="auto"/>
          </w:divBdr>
        </w:div>
      </w:divsChild>
    </w:div>
    <w:div w:id="207685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ublicsafety.gc.ca/cnt/rsrcs/pblctns/fnl-mltsystmc-thrpy-prgrm/fnl-mltsystmc-thrpy-prgrm-eng.pdf" TargetMode="External"/><Relationship Id="rId21" Type="http://schemas.openxmlformats.org/officeDocument/2006/relationships/footer" Target="footer3.xml"/><Relationship Id="rId34" Type="http://schemas.openxmlformats.org/officeDocument/2006/relationships/hyperlink" Target="https://doi.org/10.18584/iipj.2021.12.2.10208" TargetMode="External"/><Relationship Id="rId42" Type="http://schemas.openxmlformats.org/officeDocument/2006/relationships/hyperlink" Target="https://familyservicesottawa.org/services-and-programs/anger-managementespecially-for-parents/" TargetMode="External"/><Relationship Id="rId47" Type="http://schemas.openxmlformats.org/officeDocument/2006/relationships/hyperlink" Target="https://www.jobbank.gc.ca/marketreport/wages-occupation/2198/ON?wbdisable=true%20AND" TargetMode="External"/><Relationship Id="rId50" Type="http://schemas.openxmlformats.org/officeDocument/2006/relationships/hyperlink" Target="https://evaluation.ces.ncsu.edu/wp-content/uploads/2013/04/Learn_How_to_Analyze_Cost_Benefits.pdf?fwd=no" TargetMode="External"/><Relationship Id="rId55" Type="http://schemas.openxmlformats.org/officeDocument/2006/relationships/hyperlink" Target="https://www.publicsafety.gc.ca/cnt/rsrcs/pblctns/cnmc-nlss/cnmc-nlss-eng.pdf" TargetMode="External"/><Relationship Id="rId63" Type="http://schemas.openxmlformats.org/officeDocument/2006/relationships/hyperlink" Target="https://online.hbs.edu/blog/post/cost-benefit-analysis"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footer" Target="footer4.xml"/><Relationship Id="rId11" Type="http://schemas.openxmlformats.org/officeDocument/2006/relationships/endnotes" Target="endnotes.xml"/><Relationship Id="rId24" Type="http://schemas.openxmlformats.org/officeDocument/2006/relationships/image" Target="media/image4.jpeg"/><Relationship Id="rId32" Type="http://schemas.openxmlformats.org/officeDocument/2006/relationships/header" Target="header5.xml"/><Relationship Id="rId37" Type="http://schemas.openxmlformats.org/officeDocument/2006/relationships/hyperlink" Target="https://cflaw.ca/practice-area/toronto-uttering-threats-lawyer" TargetMode="External"/><Relationship Id="rId40" Type="http://schemas.openxmlformats.org/officeDocument/2006/relationships/hyperlink" Target="https://www.publicsafety.gc.ca/cnt/rsrcs/pblctns/mntry-cst-crmnl-trjctrs/report-en.pdf" TargetMode="External"/><Relationship Id="rId45" Type="http://schemas.openxmlformats.org/officeDocument/2006/relationships/hyperlink" Target="https://doi.org/10.47739/2374-0124/1018" TargetMode="External"/><Relationship Id="rId53" Type="http://schemas.openxmlformats.org/officeDocument/2006/relationships/hyperlink" Target="https://lemieuxlaw.ca/how-much-does-a-family-lawyer-cost/" TargetMode="External"/><Relationship Id="rId58" Type="http://schemas.openxmlformats.org/officeDocument/2006/relationships/hyperlink" Target="https://www.ottawapolice.ca/en/reports-and-requests/paid-duty-and-events.aspx"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qch.on.ca/UninsuredandNon-residentFees" TargetMode="External"/><Relationship Id="rId19" Type="http://schemas.openxmlformats.org/officeDocument/2006/relationships/footer" Target="footer2.xml"/><Relationship Id="rId14" Type="http://schemas.openxmlformats.org/officeDocument/2006/relationships/hyperlink" Target="https://gcdocs.ps-sp.gc.ca/cs/cs/app/nodes/48275714" TargetMode="External"/><Relationship Id="rId22" Type="http://schemas.openxmlformats.org/officeDocument/2006/relationships/hyperlink" Target="https://www.publicsafety.gc.ca/cnt/rsrcs/pblctns/2016-r005/index-en.aspx" TargetMode="External"/><Relationship Id="rId27" Type="http://schemas.openxmlformats.org/officeDocument/2006/relationships/hyperlink" Target="https://www.tbs-sct.canada.ca/pol/doc-eng.aspx?id=32600" TargetMode="External"/><Relationship Id="rId30" Type="http://schemas.openxmlformats.org/officeDocument/2006/relationships/header" Target="header4.xml"/><Relationship Id="rId35" Type="http://schemas.openxmlformats.org/officeDocument/2006/relationships/hyperlink" Target="https://www.cciph.ca/ontario-fees" TargetMode="External"/><Relationship Id="rId43" Type="http://schemas.openxmlformats.org/officeDocument/2006/relationships/hyperlink" Target="https://doi.org/10.1007/s40865-019-00112-9" TargetMode="External"/><Relationship Id="rId48" Type="http://schemas.openxmlformats.org/officeDocument/2006/relationships/hyperlink" Target="https://files.ontario.ca/edu-2324-sea-guidelines-en-2023-04-21.pdf" TargetMode="External"/><Relationship Id="rId56" Type="http://schemas.openxmlformats.org/officeDocument/2006/relationships/hyperlink" Target="https://publications.gc.ca/collections/collection_2018/dpb-pbo/YN5-152-2018-eng.pdf" TargetMode="External"/><Relationship Id="rId64" Type="http://schemas.openxmlformats.org/officeDocument/2006/relationships/hyperlink" Target="https://westcoastadr.com/comparison-of-costs/" TargetMode="External"/><Relationship Id="rId8" Type="http://schemas.openxmlformats.org/officeDocument/2006/relationships/settings" Target="settings.xml"/><Relationship Id="rId51" Type="http://schemas.openxmlformats.org/officeDocument/2006/relationships/hyperlink" Target="https://doi.org/10.1037/lhb0000170"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image" Target="media/image5.jpeg"/><Relationship Id="rId33" Type="http://schemas.openxmlformats.org/officeDocument/2006/relationships/hyperlink" Target="https://doi.org/10.1177/0011128705281756" TargetMode="External"/><Relationship Id="rId38" Type="http://schemas.openxmlformats.org/officeDocument/2006/relationships/hyperlink" Target="https://casott.on.ca/annual-report-2023-24/" TargetMode="External"/><Relationship Id="rId46" Type="http://schemas.openxmlformats.org/officeDocument/2006/relationships/hyperlink" Target="https://open.alberta.ca/mwg-internal/de5fs23hu73ds/progress?id=NSSdGsRvm8bvd55QMlrv3GPayVMRJgeIv2HNoVwl0bI,&amp;dl" TargetMode="External"/><Relationship Id="rId59" Type="http://schemas.openxmlformats.org/officeDocument/2006/relationships/hyperlink" Target="https://www.publicsafety.gc.ca/lbrr/archives/cnmcs-plcng/cn35739-01-eng.pdf" TargetMode="External"/><Relationship Id="rId67" Type="http://schemas.openxmlformats.org/officeDocument/2006/relationships/theme" Target="theme/theme1.xml"/><Relationship Id="rId20" Type="http://schemas.openxmlformats.org/officeDocument/2006/relationships/header" Target="header3.xml"/><Relationship Id="rId41" Type="http://schemas.openxmlformats.org/officeDocument/2006/relationships/hyperlink" Target="https://www.publicsafety.gc.ca/cnt/rsrcs/pblctns/2015-r018/2015-r018-en.pdf" TargetMode="External"/><Relationship Id="rId54" Type="http://schemas.openxmlformats.org/officeDocument/2006/relationships/hyperlink" Target="https://www.justice.gc.ca/eng/rp-pr/jr/ccc2014/index.html" TargetMode="External"/><Relationship Id="rId62" Type="http://schemas.openxmlformats.org/officeDocument/2006/relationships/hyperlink" Target="https://doi.org/10.25318/3510001301-eng"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securitepublique.gc.ca/cnt/rsrcs/pblctns/tlrs-stry-r001-2026/mthdlgcl-cmpnn-fr.aspx" TargetMode="External"/><Relationship Id="rId23" Type="http://schemas.openxmlformats.org/officeDocument/2006/relationships/image" Target="media/image3.jpeg"/><Relationship Id="rId28" Type="http://schemas.openxmlformats.org/officeDocument/2006/relationships/hyperlink" Target="http://www.bankofcanada.ca/rates/related/inflation-calculator/" TargetMode="External"/><Relationship Id="rId36" Type="http://schemas.openxmlformats.org/officeDocument/2006/relationships/hyperlink" Target="https://www.cbc.ca/news/canada/british-columbia/mcfd-monthly-pay-increase-foster-care-families-1.6795269" TargetMode="External"/><Relationship Id="rId49" Type="http://schemas.openxmlformats.org/officeDocument/2006/relationships/hyperlink" Target="https://incomesecurity.org/wp-content/uploads/2023/07/July-2023-ODSP-and-OW-rates-and-OCB.pdf" TargetMode="External"/><Relationship Id="rId57" Type="http://schemas.openxmlformats.org/officeDocument/2006/relationships/hyperlink" Target="https://www.opp.ca/index.php?&amp;lng=en&amp;id=115&amp;entryid=58179f628f94acf555bef561" TargetMode="External"/><Relationship Id="rId10" Type="http://schemas.openxmlformats.org/officeDocument/2006/relationships/footnotes" Target="footnotes.xml"/><Relationship Id="rId31" Type="http://schemas.openxmlformats.org/officeDocument/2006/relationships/footer" Target="footer5.xml"/><Relationship Id="rId44" Type="http://schemas.openxmlformats.org/officeDocument/2006/relationships/hyperlink" Target="https://www.publicsafety.gc.ca/cnt/rsrcs/pblctns/2015-r022/2015-r022-en.pdf" TargetMode="External"/><Relationship Id="rId52" Type="http://schemas.openxmlformats.org/officeDocument/2006/relationships/hyperlink" Target="https://www.lawforfamilies.com/5539557-average-cost-child-custody.html" TargetMode="External"/><Relationship Id="rId60" Type="http://schemas.openxmlformats.org/officeDocument/2006/relationships/hyperlink" Target="https://www.publicsafety.gc.ca/cnt/cntrng-crm/crm-prvntn/fndng-prgrms/rsk-fctrs-en.aspx" TargetMode="External"/><Relationship Id="rId65" Type="http://schemas.openxmlformats.org/officeDocument/2006/relationships/hyperlink" Target="https://www.ylaw.ca/blog/how-much-do-bc-family-law-trials-cost-vancouver-family-lawyer-explains/"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can01.safelinks.protection.outlook.com/?url=https%3A%2F%2Fwww.publicsafety.gc.ca%2Fcnt%2Frsrcs%2Fpblctns%2Ftlrs-stry-r001-2026%2Fmthdlgcl-cmpnn-en.aspx&amp;data=05%7C02%7CAllyson.Green%40ps-sp.gc.ca%7Ce79f3a50c0534ed9184808de64e70e70%7C2d28dd40a4f24317a351bc709c183c85%7C0%7C0%7C639059141623980182%7CUnknown%7CTWFpbGZsb3d8eyJFbXB0eU1hcGkiOnRydWUsIlYiOiIwLjAuMDAwMCIsIlAiOiJXaW4zMiIsIkFOIjoiTWFpbCIsIldUIjoyfQ%3D%3D%7C0%7C%7C%7C&amp;sdata=jkI8TZzQBPYpCCk8Oc8ACpnaod81%2FsYWjab8YgXatdA%3D&amp;reserved=0" TargetMode="External"/><Relationship Id="rId18" Type="http://schemas.openxmlformats.org/officeDocument/2006/relationships/footer" Target="footer1.xml"/><Relationship Id="rId39" Type="http://schemas.openxmlformats.org/officeDocument/2006/relationships/hyperlink" Target="https://coparenter.com/how-much-does-a-custody-battle-cos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Nicot\Desktop\DRAFT_Accessible-Report-Template_EN_v6.dotx" TargetMode="External"/></Relationships>
</file>

<file path=word/theme/theme1.xml><?xml version="1.0" encoding="utf-8"?>
<a:theme xmlns:a="http://schemas.openxmlformats.org/drawingml/2006/main" name="Office Theme">
  <a:themeElements>
    <a:clrScheme name="RD colour palette">
      <a:dk1>
        <a:srgbClr val="000000"/>
      </a:dk1>
      <a:lt1>
        <a:sysClr val="window" lastClr="FFFFFF"/>
      </a:lt1>
      <a:dk2>
        <a:srgbClr val="182741"/>
      </a:dk2>
      <a:lt2>
        <a:srgbClr val="E7E6E6"/>
      </a:lt2>
      <a:accent1>
        <a:srgbClr val="3A5A88"/>
      </a:accent1>
      <a:accent2>
        <a:srgbClr val="8F5629"/>
      </a:accent2>
      <a:accent3>
        <a:srgbClr val="467C81"/>
      </a:accent3>
      <a:accent4>
        <a:srgbClr val="906F31"/>
      </a:accent4>
      <a:accent5>
        <a:srgbClr val="6175AE"/>
      </a:accent5>
      <a:accent6>
        <a:srgbClr val="20393C"/>
      </a:accent6>
      <a:hlink>
        <a:srgbClr val="335289"/>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7beba5d-6924-4787-92c9-4341cda936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060281D55F814BAC7937308C053EE1" ma:contentTypeVersion="18" ma:contentTypeDescription="Create a new document." ma:contentTypeScope="" ma:versionID="decdde7e2e4a97589d59ee5dc7bc3f31">
  <xsd:schema xmlns:xsd="http://www.w3.org/2001/XMLSchema" xmlns:xs="http://www.w3.org/2001/XMLSchema" xmlns:p="http://schemas.microsoft.com/office/2006/metadata/properties" xmlns:ns3="37beba5d-6924-4787-92c9-4341cda936b0" xmlns:ns4="b04d95d5-156d-4201-8a67-9e3be4ca8648" targetNamespace="http://schemas.microsoft.com/office/2006/metadata/properties" ma:root="true" ma:fieldsID="6a0b4737c3944bacdefc03d11ca7edcf" ns3:_="" ns4:_="">
    <xsd:import namespace="37beba5d-6924-4787-92c9-4341cda936b0"/>
    <xsd:import namespace="b04d95d5-156d-4201-8a67-9e3be4ca864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eba5d-6924-4787-92c9-4341cda93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4d95d5-156d-4201-8a67-9e3be4ca86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37beba5d-6924-4787-92c9-4341cda936b0" xsi:nil="true"/>
  </documentManagement>
</p:properties>
</file>

<file path=customXml/itemProps1.xml><?xml version="1.0" encoding="utf-8"?>
<ds:datastoreItem xmlns:ds="http://schemas.openxmlformats.org/officeDocument/2006/customXml" ds:itemID="{764FB0DF-0D3E-4DEA-BAD2-66E860AF7579}">
  <ds:schemaRefs>
    <ds:schemaRef ds:uri="http://schemas.microsoft.com/office/2006/metadata/properties"/>
    <ds:schemaRef ds:uri="http://schemas.microsoft.com/office/infopath/2007/PartnerControls"/>
    <ds:schemaRef ds:uri="37beba5d-6924-4787-92c9-4341cda936b0"/>
  </ds:schemaRefs>
</ds:datastoreItem>
</file>

<file path=customXml/itemProps2.xml><?xml version="1.0" encoding="utf-8"?>
<ds:datastoreItem xmlns:ds="http://schemas.openxmlformats.org/officeDocument/2006/customXml" ds:itemID="{409EC374-D9BF-432C-84BD-E11271579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eba5d-6924-4787-92c9-4341cda936b0"/>
    <ds:schemaRef ds:uri="b04d95d5-156d-4201-8a67-9e3be4ca8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F6E6BB-CEDF-44E3-9E84-D829FBCA3BE5}">
  <ds:schemaRefs>
    <ds:schemaRef ds:uri="http://schemas.openxmlformats.org/officeDocument/2006/bibliography"/>
  </ds:schemaRefs>
</ds:datastoreItem>
</file>

<file path=customXml/itemProps4.xml><?xml version="1.0" encoding="utf-8"?>
<ds:datastoreItem xmlns:ds="http://schemas.openxmlformats.org/officeDocument/2006/customXml" ds:itemID="{C88E1E0B-C38B-47B1-A8E3-BDB6B4484455}">
  <ds:schemaRefs>
    <ds:schemaRef ds:uri="http://schemas.microsoft.com/sharepoint/v3/contenttype/forms"/>
  </ds:schemaRefs>
</ds:datastoreItem>
</file>

<file path=customXml/itemProps5.xml><?xml version="1.0" encoding="utf-8"?>
<ds:datastoreItem xmlns:ds="http://schemas.openxmlformats.org/officeDocument/2006/customXml" ds:itemID="{8EB05830-14BA-4F82-8B8B-C1ADD38B2056}">
  <ds:schemaRefs>
    <ds:schemaRef ds:uri="http://schemas.microsoft.com/office/2006/metadata/properties"/>
    <ds:schemaRef ds:uri="http://schemas.microsoft.com/office/infopath/2007/PartnerControls"/>
    <ds:schemaRef ds:uri="37beba5d-6924-4787-92c9-4341cda936b0"/>
  </ds:schemaRefs>
</ds:datastoreItem>
</file>

<file path=docProps/app.xml><?xml version="1.0" encoding="utf-8"?>
<Properties xmlns="http://schemas.openxmlformats.org/officeDocument/2006/extended-properties" xmlns:vt="http://schemas.openxmlformats.org/officeDocument/2006/docPropsVTypes">
  <Template>DRAFT_Accessible-Report-Template_EN_v6</Template>
  <TotalTime>7098</TotalTime>
  <Pages>1</Pages>
  <Words>7138</Words>
  <Characters>39479</Characters>
  <Application>Microsoft Office Word</Application>
  <DocSecurity>8</DocSecurity>
  <Lines>986</Lines>
  <Paragraphs>706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Nicot, Elisa (she, her | elle, la)</dc:creator>
  <cp:keywords/>
  <dc:description/>
  <cp:lastModifiedBy>Green, Allyson (she, her | elle, la)</cp:lastModifiedBy>
  <cp:revision>179</cp:revision>
  <cp:lastPrinted>2025-04-29T19:30:00Z</cp:lastPrinted>
  <dcterms:created xsi:type="dcterms:W3CDTF">2025-04-02T19:05:00Z</dcterms:created>
  <dcterms:modified xsi:type="dcterms:W3CDTF">2026-02-09T20:24:00Z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#008000,10,Calibri</vt:lpwstr>
  </property>
  <property fmtid="{D5CDD505-2E9C-101B-9397-08002B2CF9AE}" pid="4" name="ClassificationContentMarkingHeaderText">
    <vt:lpwstr>Unclassified | Non classifié</vt:lpwstr>
  </property>
  <property fmtid="{D5CDD505-2E9C-101B-9397-08002B2CF9AE}" pid="5" name="ClassificationContentMarkingFooterShapeIds">
    <vt:lpwstr>9,a,c</vt:lpwstr>
  </property>
  <property fmtid="{D5CDD505-2E9C-101B-9397-08002B2CF9AE}" pid="6" name="ClassificationContentMarkingFooterFontProps">
    <vt:lpwstr>#008000,10,Calibri</vt:lpwstr>
  </property>
  <property fmtid="{D5CDD505-2E9C-101B-9397-08002B2CF9AE}" pid="7" name="ClassificationContentMarkingFooterText">
    <vt:lpwstr>Unclassified | Non classifié</vt:lpwstr>
  </property>
  <property fmtid="{D5CDD505-2E9C-101B-9397-08002B2CF9AE}" pid="8" name="MSIP_Label_1dc9ef4b-740a-42cb-ab8b-01034c2f2fff_Enabled">
    <vt:lpwstr>true</vt:lpwstr>
  </property>
  <property fmtid="{D5CDD505-2E9C-101B-9397-08002B2CF9AE}" pid="9" name="MSIP_Label_1dc9ef4b-740a-42cb-ab8b-01034c2f2fff_SetDate">
    <vt:lpwstr>2023-08-30T16:19:10Z</vt:lpwstr>
  </property>
  <property fmtid="{D5CDD505-2E9C-101B-9397-08002B2CF9AE}" pid="10" name="MSIP_Label_1dc9ef4b-740a-42cb-ab8b-01034c2f2fff_Method">
    <vt:lpwstr>Privileged</vt:lpwstr>
  </property>
  <property fmtid="{D5CDD505-2E9C-101B-9397-08002B2CF9AE}" pid="11" name="MSIP_Label_1dc9ef4b-740a-42cb-ab8b-01034c2f2fff_Name">
    <vt:lpwstr>Standard Unclass-nonclass</vt:lpwstr>
  </property>
  <property fmtid="{D5CDD505-2E9C-101B-9397-08002B2CF9AE}" pid="12" name="MSIP_Label_1dc9ef4b-740a-42cb-ab8b-01034c2f2fff_SiteId">
    <vt:lpwstr>2d28dd40-a4f2-4317-a351-bc709c183c85</vt:lpwstr>
  </property>
  <property fmtid="{D5CDD505-2E9C-101B-9397-08002B2CF9AE}" pid="13" name="MSIP_Label_1dc9ef4b-740a-42cb-ab8b-01034c2f2fff_ActionId">
    <vt:lpwstr>554372fa-b1ee-435d-9e5f-eff42bfcae0e</vt:lpwstr>
  </property>
  <property fmtid="{D5CDD505-2E9C-101B-9397-08002B2CF9AE}" pid="14" name="MSIP_Label_1dc9ef4b-740a-42cb-ab8b-01034c2f2fff_ContentBits">
    <vt:lpwstr>3</vt:lpwstr>
  </property>
  <property fmtid="{D5CDD505-2E9C-101B-9397-08002B2CF9AE}" pid="15" name="ContentTypeId">
    <vt:lpwstr>0x010100DA060281D55F814BAC7937308C053EE1</vt:lpwstr>
  </property>
  <property fmtid="{D5CDD505-2E9C-101B-9397-08002B2CF9AE}" pid="16" name="_NewReviewCycle">
    <vt:lpwstr/>
  </property>
  <property fmtid="{D5CDD505-2E9C-101B-9397-08002B2CF9AE}" pid="17" name="MSIP_Label_7cbc06e0-24cf-4f56-bab7-78e3f0d940b7_Enabled">
    <vt:lpwstr>true</vt:lpwstr>
  </property>
  <property fmtid="{D5CDD505-2E9C-101B-9397-08002B2CF9AE}" pid="18" name="MSIP_Label_7cbc06e0-24cf-4f56-bab7-78e3f0d940b7_SetDate">
    <vt:lpwstr>2025-03-10T14:12:08Z</vt:lpwstr>
  </property>
  <property fmtid="{D5CDD505-2E9C-101B-9397-08002B2CF9AE}" pid="19" name="MSIP_Label_7cbc06e0-24cf-4f56-bab7-78e3f0d940b7_Method">
    <vt:lpwstr>Privileged</vt:lpwstr>
  </property>
  <property fmtid="{D5CDD505-2E9C-101B-9397-08002B2CF9AE}" pid="20" name="MSIP_Label_7cbc06e0-24cf-4f56-bab7-78e3f0d940b7_Name">
    <vt:lpwstr>Unclassified-Non classifié</vt:lpwstr>
  </property>
  <property fmtid="{D5CDD505-2E9C-101B-9397-08002B2CF9AE}" pid="21" name="MSIP_Label_7cbc06e0-24cf-4f56-bab7-78e3f0d940b7_SiteId">
    <vt:lpwstr>cd9584b2-f14c-48ae-a87a-edb195f4877e</vt:lpwstr>
  </property>
  <property fmtid="{D5CDD505-2E9C-101B-9397-08002B2CF9AE}" pid="22" name="MSIP_Label_7cbc06e0-24cf-4f56-bab7-78e3f0d940b7_ActionId">
    <vt:lpwstr>a413addb-0918-4765-b79a-dfa8078d25ba</vt:lpwstr>
  </property>
  <property fmtid="{D5CDD505-2E9C-101B-9397-08002B2CF9AE}" pid="23" name="MSIP_Label_7cbc06e0-24cf-4f56-bab7-78e3f0d940b7_ContentBits">
    <vt:lpwstr>0</vt:lpwstr>
  </property>
  <property fmtid="{D5CDD505-2E9C-101B-9397-08002B2CF9AE}" pid="24" name="_AdHocReviewCycleID">
    <vt:i4>-1611768796</vt:i4>
  </property>
  <property fmtid="{D5CDD505-2E9C-101B-9397-08002B2CF9AE}" pid="25" name="_EmailSubject">
    <vt:lpwstr>PUBLISH/CODING: PS Website - Tyler's Story (RD)</vt:lpwstr>
  </property>
  <property fmtid="{D5CDD505-2E9C-101B-9397-08002B2CF9AE}" pid="26" name="_AuthorEmail">
    <vt:lpwstr>Ben.Wilson@PS-SP.GC.CA</vt:lpwstr>
  </property>
  <property fmtid="{D5CDD505-2E9C-101B-9397-08002B2CF9AE}" pid="27" name="_AuthorEmailDisplayName">
    <vt:lpwstr>Wilson, Benjamin</vt:lpwstr>
  </property>
  <property fmtid="{D5CDD505-2E9C-101B-9397-08002B2CF9AE}" pid="28" name="_PreviousAdHocReviewCycleID">
    <vt:i4>-1019146840</vt:i4>
  </property>
</Properties>
</file>